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tbl>
      <w:tblPr>
        <w:tblStyle w:val="Table"/>
        <w:tblW w:type="pct" w:w="277.77777777777777"/>
        <w:tblLook w:firstRow="0" w:lastRow="0" w:firstColumn="0" w:lastColumn="0" w:noHBand="0" w:noVBand="0"/>
      </w:tblPr>
      <w:tblGrid>
        <w:gridCol w:w="440"/>
      </w:tblGrid>
      <w:tr>
        <w:tc>
          <w:p>
            <w:pPr>
              <w:pStyle w:val="Compact"/>
              <w:jc w:val="left"/>
            </w:pPr>
            <w:r>
              <w:t xml:space="preserve">title: Baseline Requirements for the Issuance and Management of Publicly-Trusted TLS Server Certificates</w:t>
            </w:r>
          </w:p>
        </w:tc>
      </w:tr>
      <w:tr>
        <w:tc>
          <w:p>
            <w:pPr>
              <w:pStyle w:val="Compact"/>
              <w:jc w:val="left"/>
            </w:pPr>
            <w:r>
              <w:t xml:space="preserve">subtitle: Version 2.0.x</w:t>
            </w:r>
            <w:r>
              <w:t xml:space="preserve"> </w:t>
            </w:r>
            <w:r>
              <w:t xml:space="preserve">author:</w:t>
            </w:r>
            <w:r>
              <w:t xml:space="preserve"> </w:t>
            </w:r>
            <w:r>
              <w:t xml:space="preserve">- CA/Browser Forum</w:t>
            </w:r>
          </w:p>
        </w:tc>
      </w:tr>
      <w:tr>
        <w:tc>
          <w:p>
            <w:pPr>
              <w:pStyle w:val="Compact"/>
              <w:jc w:val="left"/>
            </w:pPr>
            <w:r>
              <w:t xml:space="preserve">date: DD-MONTH-2024</w:t>
            </w:r>
            <w:r>
              <w:t xml:space="preserve"> </w:t>
            </w:r>
            <w:r>
              <w:t xml:space="preserve">=======</w:t>
            </w:r>
          </w:p>
        </w:tc>
      </w:tr>
      <w:tr>
        <w:tc>
          <w:p>
            <w:pPr>
              <w:pStyle w:val="Compact"/>
              <w:jc w:val="left"/>
            </w:pPr>
            <w:r>
              <w:t xml:space="preserve">copyright: |</w:t>
            </w:r>
            <w:r>
              <w:t xml:space="preserve"> </w:t>
            </w:r>
            <w:r>
              <w:t xml:space="preserve">Copyright 2024 CA/Browser Forum</w:t>
            </w:r>
          </w:p>
        </w:tc>
      </w:tr>
      <w:tr>
        <w:tc>
          <w:p>
            <w:pPr>
              <w:pStyle w:val="Compact"/>
              <w:jc w:val="left"/>
            </w:pPr>
            <w:r>
              <w:t xml:space="preserve">This work is licensed under the Creative Commons Attribution 4.0 International license.</w:t>
            </w:r>
          </w:p>
        </w:tc>
      </w:tr>
    </w:tbl>
    <w:bookmarkStart w:id="56"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r>
        <w:tc>
          <w:p>
            <w:pPr>
              <w:pStyle w:val="Compact"/>
              <w:jc w:val="left"/>
            </w:pPr>
            <w:r>
              <w:t xml:space="preserve">2.0.4</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2.0.5</w:t>
            </w:r>
          </w:p>
        </w:tc>
        <w:tc>
          <w:p>
            <w:pPr>
              <w:pStyle w:val="Compact"/>
              <w:jc w:val="left"/>
            </w:pPr>
            <w:r>
              <w:t xml:space="preserve">SC73</w:t>
            </w:r>
          </w:p>
        </w:tc>
        <w:tc>
          <w:p>
            <w:pPr>
              <w:pStyle w:val="Compact"/>
              <w:jc w:val="left"/>
            </w:pPr>
            <w:r>
              <w:t xml:space="preserve">Compromised and weak keys</w:t>
            </w:r>
          </w:p>
        </w:tc>
        <w:tc>
          <w:p>
            <w:pPr>
              <w:pStyle w:val="Compact"/>
              <w:jc w:val="left"/>
            </w:pPr>
            <w:r>
              <w:t xml:space="preserve">3-May-2024</w:t>
            </w:r>
          </w:p>
        </w:tc>
        <w:tc>
          <w:p>
            <w:pPr>
              <w:pStyle w:val="Compact"/>
              <w:jc w:val="left"/>
            </w:pPr>
            <w:r>
              <w:t xml:space="preserve">1-July-2024</w:t>
            </w:r>
          </w:p>
        </w:tc>
      </w:tr>
      <w:tr>
        <w:tc>
          <w:p>
            <w:pPr>
              <w:pStyle w:val="Compact"/>
              <w:jc w:val="left"/>
            </w:pPr>
            <w:r>
              <w:t xml:space="preserve">2.0.6</w:t>
            </w:r>
          </w:p>
        </w:tc>
        <w:tc>
          <w:p>
            <w:pPr>
              <w:pStyle w:val="Compact"/>
              <w:jc w:val="left"/>
            </w:pPr>
            <w:r>
              <w:t xml:space="preserve">SC75</w:t>
            </w:r>
          </w:p>
        </w:tc>
        <w:tc>
          <w:p>
            <w:pPr>
              <w:pStyle w:val="Compact"/>
              <w:jc w:val="left"/>
            </w:pPr>
            <w:r>
              <w:t xml:space="preserve">Pre-sign linting</w:t>
            </w:r>
          </w:p>
        </w:tc>
        <w:tc>
          <w:p>
            <w:pPr>
              <w:pStyle w:val="Compact"/>
              <w:jc w:val="left"/>
            </w:pPr>
            <w:r>
              <w:t xml:space="preserve">28-June-2024</w:t>
            </w:r>
          </w:p>
        </w:tc>
        <w:tc>
          <w:p>
            <w:pPr>
              <w:pStyle w:val="Compact"/>
              <w:jc w:val="left"/>
            </w:pPr>
            <w:r>
              <w:t xml:space="preserve">6-August-2024</w:t>
            </w:r>
          </w:p>
        </w:tc>
      </w:tr>
      <w:tr>
        <w:tc>
          <w:p>
            <w:pPr>
              <w:pStyle w:val="Compact"/>
              <w:jc w:val="left"/>
            </w:pPr>
            <w:r>
              <w:t xml:space="preserve">2.0.7</w:t>
            </w:r>
          </w:p>
        </w:tc>
        <w:tc>
          <w:p>
            <w:pPr>
              <w:pStyle w:val="Compact"/>
              <w:jc w:val="left"/>
            </w:pPr>
            <w:r>
              <w:t xml:space="preserve">SC67</w:t>
            </w:r>
          </w:p>
        </w:tc>
        <w:tc>
          <w:p>
            <w:pPr>
              <w:pStyle w:val="Compact"/>
              <w:jc w:val="left"/>
            </w:pPr>
            <w:r>
              <w:t xml:space="preserve">Require Multi-Perspective Issuance Corroboration</w:t>
            </w:r>
          </w:p>
        </w:tc>
        <w:tc>
          <w:p>
            <w:pPr>
              <w:pStyle w:val="Compact"/>
              <w:jc w:val="left"/>
            </w:pPr>
            <w:r>
              <w:t xml:space="preserve">2-August-2024</w:t>
            </w:r>
          </w:p>
        </w:tc>
        <w:tc>
          <w:p>
            <w:pPr>
              <w:pStyle w:val="Compact"/>
              <w:jc w:val="left"/>
            </w:pPr>
            <w:r>
              <w:t xml:space="preserve">6-September-2024</w:t>
            </w:r>
          </w:p>
        </w:tc>
      </w:tr>
      <w:tr>
        <w:tc>
          <w:p>
            <w:pPr>
              <w:pStyle w:val="Compact"/>
              <w:jc w:val="left"/>
            </w:pPr>
            <w:r>
              <w:t xml:space="preserve">2.0.8</w:t>
            </w:r>
          </w:p>
        </w:tc>
        <w:tc>
          <w:p>
            <w:pPr>
              <w:pStyle w:val="Compact"/>
              <w:jc w:val="left"/>
            </w:pPr>
            <w:r>
              <w:t xml:space="preserve">SC77</w:t>
            </w:r>
          </w:p>
        </w:tc>
        <w:tc>
          <w:p>
            <w:pPr>
              <w:pStyle w:val="Compact"/>
              <w:jc w:val="left"/>
            </w:pPr>
            <w:r>
              <w:t xml:space="preserve">Update WebTrust Audit name in Section 8.4 and References</w:t>
            </w:r>
          </w:p>
        </w:tc>
        <w:tc>
          <w:p>
            <w:pPr>
              <w:pStyle w:val="Compact"/>
              <w:jc w:val="left"/>
            </w:pPr>
            <w:r>
              <w:t xml:space="preserve">2-September-2024</w:t>
            </w:r>
          </w:p>
        </w:tc>
        <w:tc>
          <w:p>
            <w:pPr>
              <w:pStyle w:val="Compact"/>
              <w:jc w:val="left"/>
            </w:pPr>
            <w:r>
              <w:t xml:space="preserve">2-October-2024</w:t>
            </w:r>
          </w:p>
        </w:tc>
      </w:tr>
      <w:tr>
        <w:tc>
          <w:p>
            <w:pPr>
              <w:pStyle w:val="Compact"/>
              <w:jc w:val="left"/>
            </w:pPr>
            <w:r>
              <w:t xml:space="preserve">2.0.9</w:t>
            </w:r>
          </w:p>
        </w:tc>
        <w:tc>
          <w:p>
            <w:pPr>
              <w:pStyle w:val="Compact"/>
              <w:jc w:val="left"/>
            </w:pPr>
            <w:r>
              <w:t xml:space="preserve">SC78</w:t>
            </w:r>
          </w:p>
        </w:tc>
        <w:tc>
          <w:p>
            <w:pPr>
              <w:pStyle w:val="Compact"/>
              <w:jc w:val="left"/>
            </w:pPr>
            <w:r>
              <w:t xml:space="preserve">Subject organizationName alignment for DBA / Assumed Name</w:t>
            </w:r>
          </w:p>
        </w:tc>
        <w:tc>
          <w:p>
            <w:pPr>
              <w:pStyle w:val="Compact"/>
              <w:jc w:val="left"/>
            </w:pPr>
            <w:r>
              <w:t xml:space="preserve">2-October-2024</w:t>
            </w:r>
          </w:p>
        </w:tc>
        <w:tc>
          <w:p>
            <w:pPr>
              <w:pStyle w:val="Compact"/>
              <w:jc w:val="left"/>
            </w:pPr>
            <w:r>
              <w:t xml:space="preserve">8-November-2024</w:t>
            </w:r>
          </w:p>
        </w:tc>
      </w:tr>
      <w:tr>
        <w:tc>
          <w:p>
            <w:pPr>
              <w:pStyle w:val="Compact"/>
              <w:jc w:val="left"/>
            </w:pPr>
            <w:r>
              <w:t xml:space="preserve">2.0.X</w:t>
            </w:r>
          </w:p>
        </w:tc>
        <w:tc>
          <w:p>
            <w:pPr>
              <w:pStyle w:val="Compact"/>
              <w:jc w:val="left"/>
            </w:pPr>
            <w:r>
              <w:t xml:space="preserve">SC80</w:t>
            </w:r>
          </w:p>
        </w:tc>
        <w:tc>
          <w:p>
            <w:pPr>
              <w:pStyle w:val="Compact"/>
              <w:jc w:val="left"/>
            </w:pPr>
            <w:r>
              <w:t xml:space="preserve">Strengthen WHOIS lookups and Sunset Methods 3.2.2.4.2 and 3.2.2.4.15</w:t>
            </w:r>
          </w:p>
        </w:tc>
        <w:tc>
          <w:p>
            <w:pPr>
              <w:pStyle w:val="Compact"/>
              <w:jc w:val="left"/>
            </w:pPr>
            <w:r>
              <w:t xml:space="preserve">TBD</w:t>
            </w:r>
          </w:p>
        </w:tc>
        <w:tc>
          <w:p>
            <w:pPr>
              <w:pStyle w:val="Compact"/>
              <w:jc w:val="left"/>
            </w:pPr>
            <w:r>
              <w:t xml:space="preserve">TBD</w:t>
            </w:r>
          </w:p>
        </w:tc>
      </w:tr>
    </w:tbl>
    <w:p>
      <w:pPr>
        <w:pStyle w:val="BodyText"/>
      </w:pPr>
      <w:r>
        <w:t xml:space="preserve">=======</w:t>
      </w:r>
    </w:p>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261"/>
        <w:gridCol w:w="440"/>
        <w:gridCol w:w="721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r>
        <w:tc>
          <w:p>
            <w:pPr>
              <w:pStyle w:val="Compact"/>
              <w:jc w:val="left"/>
            </w:pPr>
            <w:r>
              <w:t xml:space="preserve">2024-09-15</w:t>
            </w:r>
          </w:p>
        </w:tc>
        <w:tc>
          <w:p>
            <w:pPr>
              <w:pStyle w:val="Compact"/>
              <w:jc w:val="left"/>
            </w:pPr>
            <w:r>
              <w:t xml:space="preserve">4.3.1.2</w:t>
            </w:r>
          </w:p>
        </w:tc>
        <w:tc>
          <w:p>
            <w:pPr>
              <w:pStyle w:val="Compact"/>
              <w:jc w:val="left"/>
            </w:pPr>
            <w:r>
              <w:t xml:space="preserve">The CA SHOULD implement a Linting process to test the technical conformity of the to-be-issued Certificate with these Requirements.</w:t>
            </w:r>
          </w:p>
        </w:tc>
      </w:tr>
      <w:tr>
        <w:tc>
          <w:p>
            <w:pPr>
              <w:pStyle w:val="Compact"/>
              <w:jc w:val="left"/>
            </w:pPr>
            <w:r>
              <w:t xml:space="preserve">2025-01-15</w:t>
            </w:r>
          </w:p>
        </w:tc>
        <w:tc>
          <w:p>
            <w:pPr>
              <w:pStyle w:val="Compact"/>
              <w:jc w:val="left"/>
            </w:pPr>
            <w:r>
              <w:t xml:space="preserve">3.2.2.4</w:t>
            </w:r>
          </w:p>
        </w:tc>
        <w:tc>
          <w:p>
            <w:pPr>
              <w:pStyle w:val="Compact"/>
              <w:jc w:val="left"/>
            </w:pPr>
            <w:r>
              <w:t xml:space="preserve">CAs MUST NOT rely on HTTPS websites to identify Domain Contact information. CAs MUST rely on IANA resources for identifying Domain Contact information.</w:t>
            </w:r>
          </w:p>
        </w:tc>
      </w:tr>
      <w:tr>
        <w:tc>
          <w:p>
            <w:pPr>
              <w:pStyle w:val="Compact"/>
              <w:jc w:val="left"/>
            </w:pPr>
            <w:r>
              <w:t xml:space="preserve">2025-03-15</w:t>
            </w:r>
          </w:p>
        </w:tc>
        <w:tc>
          <w:p>
            <w:pPr>
              <w:pStyle w:val="Compact"/>
              <w:jc w:val="left"/>
            </w:pPr>
            <w:r>
              <w:t xml:space="preserve">4.3.1.2</w:t>
            </w:r>
          </w:p>
        </w:tc>
        <w:tc>
          <w:p>
            <w:pPr>
              <w:pStyle w:val="Compact"/>
              <w:jc w:val="left"/>
            </w:pPr>
            <w:r>
              <w:t xml:space="preserve">The CA SHALL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8.7</w:t>
            </w:r>
          </w:p>
        </w:tc>
        <w:tc>
          <w:p>
            <w:pPr>
              <w:pStyle w:val="Compact"/>
              <w:jc w:val="left"/>
            </w:pPr>
            <w:r>
              <w:t xml:space="preserve">The CA SHOULD use a Linting process to test the technical accuracy of already issued Certificates against the sample set chosen for Self-Audits.</w:t>
            </w:r>
          </w:p>
        </w:tc>
      </w:tr>
      <w:tr>
        <w:tc>
          <w:p>
            <w:pPr>
              <w:pStyle w:val="Compact"/>
              <w:jc w:val="left"/>
            </w:pPr>
            <w:r>
              <w:t xml:space="preserve">2025-03-15</w:t>
            </w:r>
          </w:p>
        </w:tc>
        <w:tc>
          <w:p>
            <w:pPr>
              <w:pStyle w:val="Compact"/>
              <w:jc w:val="left"/>
            </w:pPr>
            <w:r>
              <w:t xml:space="preserve">3.2.2.9</w:t>
            </w:r>
          </w:p>
        </w:tc>
        <w:tc>
          <w:p>
            <w:pPr>
              <w:pStyle w:val="Compact"/>
              <w:jc w:val="left"/>
            </w:pPr>
            <w:r>
              <w:t xml:space="preserve">CAs MUST corroborate the results of domain validation and CAA checks from multiple Network Perspectives where specified.</w:t>
            </w:r>
          </w:p>
        </w:tc>
      </w:tr>
      <w:tr>
        <w:tc>
          <w:p>
            <w:pPr>
              <w:pStyle w:val="Compact"/>
              <w:jc w:val="left"/>
            </w:pPr>
            <w:r>
              <w:t xml:space="preserve">2025-07-15</w:t>
            </w:r>
          </w:p>
        </w:tc>
        <w:tc>
          <w:p>
            <w:pPr>
              <w:pStyle w:val="Compact"/>
              <w:jc w:val="left"/>
            </w:pPr>
            <w:r>
              <w:t xml:space="preserve">3.2.2.4</w:t>
            </w:r>
          </w:p>
        </w:tc>
        <w:tc>
          <w:p>
            <w:pPr>
              <w:pStyle w:val="Compact"/>
              <w:jc w:val="left"/>
            </w:pPr>
            <w:r>
              <w:t xml:space="preserve">CAs MUST NOT rely on Methods 3.2.2.4.2 and 3.2.2.4.15 to issue Subscriber Certificates.</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5"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8"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Linting</w:t>
      </w:r>
      <w:r>
        <w:t xml:space="preserve">: A process in which the content of digitally signed data such as a Precertificate [RFC 6962], Certificate, Certificate Revocation List, or OCSP response, or data-to-be-signed object such as a</w:t>
      </w:r>
      <w:r>
        <w:t xml:space="preserve"> </w:t>
      </w:r>
      <w:r>
        <w:rPr>
          <w:rStyle w:val="VerbatimChar"/>
        </w:rPr>
        <w:t xml:space="preserve">tbsCertificate</w:t>
      </w:r>
      <w:r>
        <w:t xml:space="preserve"> </w:t>
      </w:r>
      <w:r>
        <w:t xml:space="preserve">(as described in</w:t>
      </w:r>
      <w:r>
        <w:t xml:space="preserve"> </w:t>
      </w:r>
      <w:hyperlink r:id="rId44">
        <w:r>
          <w:rPr>
            <w:rStyle w:val="Hyperlink"/>
          </w:rPr>
          <w:t xml:space="preserve">RFC 5280, Section 4.1.1.1</w:t>
        </w:r>
      </w:hyperlink>
      <w:r>
        <w:t xml:space="preserve">) is checked for conformance with the profiles and requirements defined in these Requirements.</w:t>
      </w:r>
    </w:p>
    <w:p>
      <w:pPr>
        <w:pStyle w:val="BodyText"/>
      </w:pPr>
      <w:r>
        <w:rPr>
          <w:bCs/>
          <w:b/>
        </w:rPr>
        <w:t xml:space="preserve">Multi-Perspective Issuance Corroboration</w:t>
      </w:r>
      <w:r>
        <w:t xml:space="preserve">: A process by which the determinations made during domain validation and CAA checking by the Primary Network Perspective are corroborated by other Network Perspectives before Certificate issuance.</w:t>
      </w:r>
    </w:p>
    <w:p>
      <w:pPr>
        <w:pStyle w:val="BodyText"/>
      </w:pPr>
      <w:r>
        <w:rPr>
          <w:bCs/>
          <w:b/>
        </w:rPr>
        <w:t xml:space="preserve">Network Perspective</w:t>
      </w:r>
      <w:r>
        <w:t xml:space="preserve">: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Primary Network Perspective</w:t>
      </w:r>
      <w:r>
        <w:t xml:space="preserve">: The Network Perspective used by the CA to make the determination of 1) the CA’s authority to issue a Certificate for the requested domain(s) or IP address(es) and 2) the Applicant’s authority and/or domain authorization or control of the requested domain(s) or IP address(es).</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5">
        <w:r>
          <w:rPr>
            <w:rStyle w:val="Hyperlink"/>
          </w:rPr>
          <w:t xml:space="preserve">https://www.iana.org/assignments/iana-ipv4-special-registry/iana-ipv4-special-registry.xhtml</w:t>
        </w:r>
      </w:hyperlink>
    </w:p>
    <w:p>
      <w:pPr>
        <w:pStyle w:val="BodyText"/>
      </w:pPr>
      <w:hyperlink r:id="rId46">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7">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8"/>
    <w:bookmarkStart w:id="49"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9"/>
    <w:bookmarkStart w:id="53"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50">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1">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2">
        <w:r>
          <w:rPr>
            <w:rStyle w:val="Hyperlink"/>
          </w:rPr>
          <w:t xml:space="preserve">https://www.cpacanada.ca/en/business-and-accounting-resources/audit-and-assurance/overview-of-webtrust-services/principles-and-criteria</w:t>
        </w:r>
      </w:hyperlink>
    </w:p>
    <w:p>
      <w:pPr>
        <w:pStyle w:val="BodyText"/>
      </w:pPr>
      <w:hyperlink r:id="rId52">
        <w:r>
          <w:rPr>
            <w:rStyle w:val="Hyperlink"/>
          </w:rPr>
          <w:t xml:space="preserve">WebTrust Principles and Criteria for Certification Authorities – SSL Baseline</w:t>
        </w:r>
      </w:hyperlink>
    </w:p>
    <w:p>
      <w:pPr>
        <w:pStyle w:val="BodyText"/>
      </w:pPr>
      <w:r>
        <w:t xml:space="preserve">X.509, Recommendation ITU-T X.509 (08/2005) | ISO/IEC 9594-8:2005, Information technology – Open Systems Interconnection – The Directory: Public-key and attribute certificate frameworks.</w:t>
      </w:r>
    </w:p>
    <w:bookmarkEnd w:id="53"/>
    <w:bookmarkStart w:id="54"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4"/>
    <w:bookmarkEnd w:id="55"/>
    <w:bookmarkEnd w:id="56"/>
    <w:bookmarkStart w:id="62"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7"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7"/>
    <w:bookmarkStart w:id="59"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8">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9"/>
    <w:bookmarkStart w:id="60"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60"/>
    <w:bookmarkStart w:id="61"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1"/>
    <w:bookmarkEnd w:id="62"/>
    <w:bookmarkStart w:id="121" w:name="X8863bdafba66878afc88bdae54f80c7438f2d24"/>
    <w:p>
      <w:pPr>
        <w:pStyle w:val="Heading1"/>
      </w:pPr>
      <w:r>
        <w:t xml:space="preserve">3. IDENTIFICATION AND AUTHENTICATION</w:t>
      </w:r>
    </w:p>
    <w:bookmarkStart w:id="69" w:name="Xf786f9c7655c91d53d3be6fd5acd158760b27b1"/>
    <w:p>
      <w:pPr>
        <w:pStyle w:val="Heading2"/>
      </w:pPr>
      <w:r>
        <w:t xml:space="preserve">3.1 Naming</w:t>
      </w:r>
    </w:p>
    <w:bookmarkStart w:id="63" w:name="Xed774de95f03f0e31c0c07879236ab1bfe9bd11"/>
    <w:p>
      <w:pPr>
        <w:pStyle w:val="Heading3"/>
      </w:pPr>
      <w:r>
        <w:t xml:space="preserve">3.1.1 Types of names</w:t>
      </w:r>
    </w:p>
    <w:bookmarkEnd w:id="63"/>
    <w:bookmarkStart w:id="64" w:name="X8e7d7751836ece8a884125a2965c5cb9e977707"/>
    <w:p>
      <w:pPr>
        <w:pStyle w:val="Heading3"/>
      </w:pPr>
      <w:r>
        <w:t xml:space="preserve">3.1.2 Need for names to be meaningful</w:t>
      </w:r>
    </w:p>
    <w:bookmarkEnd w:id="64"/>
    <w:bookmarkStart w:id="65" w:name="X9d5c3d11a9b11b814ce0d979d8070e0bb02a176"/>
    <w:p>
      <w:pPr>
        <w:pStyle w:val="Heading3"/>
      </w:pPr>
      <w:r>
        <w:t xml:space="preserve">3.1.3 Anonymity or pseudonymity of subscribers</w:t>
      </w:r>
    </w:p>
    <w:bookmarkEnd w:id="65"/>
    <w:bookmarkStart w:id="66" w:name="Xd75df41192a8b22e4274876ae42e0527837ae10"/>
    <w:p>
      <w:pPr>
        <w:pStyle w:val="Heading3"/>
      </w:pPr>
      <w:r>
        <w:t xml:space="preserve">3.1.4 Rules for interpreting various name forms</w:t>
      </w:r>
    </w:p>
    <w:bookmarkEnd w:id="66"/>
    <w:bookmarkStart w:id="67" w:name="Xa1ac54330933c10cff72bb358a4e8c1feaa6d5a"/>
    <w:p>
      <w:pPr>
        <w:pStyle w:val="Heading3"/>
      </w:pPr>
      <w:r>
        <w:t xml:space="preserve">3.1.5 Uniqueness of names</w:t>
      </w:r>
    </w:p>
    <w:bookmarkEnd w:id="67"/>
    <w:bookmarkStart w:id="68" w:name="X5cf81b88921fe36972782047b214b6fcebb7665"/>
    <w:p>
      <w:pPr>
        <w:pStyle w:val="Heading3"/>
      </w:pPr>
      <w:r>
        <w:t xml:space="preserve">3.1.6 Recognition, authentication, and role of trademarks</w:t>
      </w:r>
    </w:p>
    <w:bookmarkEnd w:id="68"/>
    <w:bookmarkEnd w:id="69"/>
    <w:bookmarkStart w:id="116" w:name="X717456f35997daf739a755e62f9736e96045222"/>
    <w:p>
      <w:pPr>
        <w:pStyle w:val="Heading2"/>
      </w:pPr>
      <w:r>
        <w:t xml:space="preserve">3.2 Initial identity validation</w:t>
      </w:r>
    </w:p>
    <w:bookmarkStart w:id="70" w:name="X58ba043e5104c081012981bc400850498a0ed19"/>
    <w:p>
      <w:pPr>
        <w:pStyle w:val="Heading3"/>
      </w:pPr>
      <w:r>
        <w:t xml:space="preserve">3.2.1 Method to prove possession of private key</w:t>
      </w:r>
    </w:p>
    <w:bookmarkEnd w:id="70"/>
    <w:bookmarkStart w:id="111"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1"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1"/>
    <w:bookmarkStart w:id="72"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2"/>
    <w:bookmarkStart w:id="73"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3"/>
    <w:bookmarkStart w:id="97"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4"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4"/>
    <w:bookmarkStart w:id="75"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p>
      <w:pPr>
        <w:pStyle w:val="BodyText"/>
      </w:pPr>
      <w:r>
        <w:t xml:space="preserve">Effective January 15, 2025:</w:t>
      </w:r>
      <w:r>
        <w:t xml:space="preserve"> </w:t>
      </w:r>
      <w:r>
        <w:t xml:space="preserve">- When issuing Subscriber Certificates, the CA MUST NOT rely on Domain Contact information obtained using an HTTPS website, regardless of whether previously obtained information is within the allowed reuse period.</w:t>
      </w:r>
      <w:r>
        <w:t xml:space="preserve"> </w:t>
      </w:r>
      <w:r>
        <w:t xml:space="preserve">- When obtaining Domain Contact information for a requested Domain Name the CA:</w:t>
      </w:r>
      <w:r>
        <w:t xml:space="preserve"> </w:t>
      </w:r>
      <w:r>
        <w:t xml:space="preserve">- if using the WHOIS protocol (RFC 3912), MUST query IANA’s WHOIS server and follow referrals to the appropriate WHOIS server.</w:t>
      </w:r>
      <w:r>
        <w:t xml:space="preserve"> </w:t>
      </w:r>
      <w:r>
        <w:t xml:space="preserve">- if using the Registry Data Access Protocol (RFC 7482), MUST utilize IANA’s bootstrap file to identify and query the correct RDAP server for the domain.</w:t>
      </w:r>
      <w:r>
        <w:t xml:space="preserve"> </w:t>
      </w:r>
      <w:r>
        <w:t xml:space="preserve">- MUST NOT rely on cached 1) WHOIS server information that is more than 48 hours old, or 2) RDAP bootstrap data from IANA that is more than 48 hours old, to ensure that it relies upon up-to-date and accurate information.</w:t>
      </w:r>
    </w:p>
    <w:p>
      <w:pPr>
        <w:pStyle w:val="BodyText"/>
      </w:pPr>
      <w:r>
        <w:t xml:space="preserve">Effective July 15, 2025:</w:t>
      </w:r>
      <w:r>
        <w:t xml:space="preserve"> </w:t>
      </w:r>
      <w:r>
        <w:t xml:space="preserve">- The CA MUST NOT rely on this method.</w:t>
      </w:r>
      <w:r>
        <w:t xml:space="preserve"> </w:t>
      </w:r>
      <w:r>
        <w:t xml:space="preserve">- Prior validations using this method and validation data gathered according to this method MUST NOT be used to issue Subscriber Certificates.</w:t>
      </w:r>
    </w:p>
    <w:bookmarkEnd w:id="75"/>
    <w:bookmarkStart w:id="76"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6"/>
    <w:bookmarkStart w:id="77"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7"/>
    <w:bookmarkStart w:id="78"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9"/>
    <w:bookmarkStart w:id="80"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3.2.2.14.3 of the EV Guidelines).</w:t>
      </w:r>
    </w:p>
    <w:p>
      <w:pPr>
        <w:pStyle w:val="FirstParagraph"/>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0"/>
    <w:bookmarkStart w:id="81"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IP address as the Primary Network Perspective.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1"/>
    <w:bookmarkStart w:id="82"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3"/>
    <w:bookmarkStart w:id="84" w:name="Xab0a44283fc9566d9c672faa597e66dc9c234d6"/>
    <w:p>
      <w:pPr>
        <w:pStyle w:val="Heading5"/>
      </w:pPr>
      <w:r>
        <w:t xml:space="preserve">3.2.2.4.11 Any Other Method</w:t>
      </w:r>
    </w:p>
    <w:p>
      <w:pPr>
        <w:pStyle w:val="FirstParagraph"/>
      </w:pPr>
      <w:r>
        <w:t xml:space="preserve">This method has been retired and MUST NOT be used.</w:t>
      </w:r>
    </w:p>
    <w:bookmarkEnd w:id="84"/>
    <w:bookmarkStart w:id="85"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p>
      <w:pPr>
        <w:pStyle w:val="BodyText"/>
      </w:pPr>
      <w:r>
        <w:t xml:space="preserve">Effective January 15, 2025:</w:t>
      </w:r>
      <w:r>
        <w:t xml:space="preserve"> </w:t>
      </w:r>
      <w:r>
        <w:t xml:space="preserve">- When issuing Subscriber Certificates, the CA MUST NOT rely on Domain Contact information obtained using an HTTPS website, regardless of whether previously obtained information is within the allowed reuse period.</w:t>
      </w:r>
      <w:r>
        <w:t xml:space="preserve"> </w:t>
      </w:r>
      <w:r>
        <w:t xml:space="preserve">- When obtaining Domain Contact information for a requested Domain Name the CA:</w:t>
      </w:r>
      <w:r>
        <w:t xml:space="preserve"> </w:t>
      </w:r>
      <w:r>
        <w:t xml:space="preserve">- if using the WHOIS protocol (RFC 3912), MUST query IANA’s WHOIS server and follow referrals to the appropriate WHOIS server.</w:t>
      </w:r>
      <w:r>
        <w:t xml:space="preserve"> </w:t>
      </w:r>
      <w:r>
        <w:t xml:space="preserve">- if using the Registry Data Access Protocol (RFC 7482), MUST utilize IANA’s bootstrap file to identify and query the correct RDAP server for the domain.</w:t>
      </w:r>
      <w:r>
        <w:t xml:space="preserve"> </w:t>
      </w:r>
      <w:r>
        <w:t xml:space="preserve">- MUST NOT rely on cached 1) WHOIS server information that is more than 48 hours old, or 2) RDAP bootstrap data from IANA that is more than 48 hours old, to ensure that it relies upon up-to-date and accurate information.</w:t>
      </w:r>
    </w:p>
    <w:bookmarkEnd w:id="85"/>
    <w:bookmarkStart w:id="86"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p>
      <w:pPr>
        <w:pStyle w:val="BodyText"/>
      </w:pPr>
      <w:r>
        <w:t xml:space="preserve">Effective January 15, 2025:</w:t>
      </w:r>
      <w:r>
        <w:t xml:space="preserve"> </w:t>
      </w:r>
      <w:r>
        <w:t xml:space="preserve">- When issuing Subscriber Certificates, the CA MUST NOT rely on Domain Contact information obtained using an HTTPS website, regardless of whether previously obtained information is within the allowed reuse period.</w:t>
      </w:r>
      <w:r>
        <w:t xml:space="preserve"> </w:t>
      </w:r>
      <w:r>
        <w:t xml:space="preserve">- When obtaining Domain Contact information for a requested Domain Name the CA:</w:t>
      </w:r>
      <w:r>
        <w:t xml:space="preserve"> </w:t>
      </w:r>
      <w:r>
        <w:t xml:space="preserve">- if using the WHOIS protocol (RFC 3912), MUST query IANA’s WHOIS server and follow referrals to the appropriate WHOIS server.</w:t>
      </w:r>
      <w:r>
        <w:t xml:space="preserve"> </w:t>
      </w:r>
      <w:r>
        <w:t xml:space="preserve">- if using the Registry Data Access Protocol (RFC 7482), MUST utilize IANA’s bootstrap file to identify and query the correct RDAP server for the domain.</w:t>
      </w:r>
      <w:r>
        <w:t xml:space="preserve"> </w:t>
      </w:r>
      <w:r>
        <w:t xml:space="preserve">- MUST NOT rely on cached 1) WHOIS server information that is more than 48 hours old, or 2) RDAP bootstrap data from IANA that is more than 48 hours old, to ensure that it relies upon up-to-date and accurate information.</w:t>
      </w:r>
    </w:p>
    <w:p>
      <w:pPr>
        <w:pStyle w:val="BodyText"/>
      </w:pPr>
      <w:r>
        <w:t xml:space="preserve">Effective July 15, 2025:</w:t>
      </w:r>
      <w:r>
        <w:t xml:space="preserve"> </w:t>
      </w:r>
      <w:r>
        <w:t xml:space="preserve">- The CA MUST NOT rely on this method.</w:t>
      </w:r>
      <w:r>
        <w:t xml:space="preserve"> </w:t>
      </w:r>
      <w:r>
        <w:t xml:space="preserve">- Prior validations using this method and validation data gathered according to this method MUST NOT be used to issue Subscriber Certificates.</w:t>
      </w:r>
    </w:p>
    <w:bookmarkEnd w:id="88"/>
    <w:bookmarkStart w:id="89"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0"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90"/>
    <w:bookmarkStart w:id="94"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Start w:id="96"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6"/>
    <w:bookmarkEnd w:id="97"/>
    <w:bookmarkStart w:id="105"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8"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p>
      <w:pPr>
        <w:pStyle w:val="FirstParagraph"/>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bookmarkEnd w:id="98"/>
    <w:bookmarkStart w:id="99"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9"/>
    <w:bookmarkStart w:id="100"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FQDN as the Primary Network Perspective.</w:t>
      </w:r>
    </w:p>
    <w:bookmarkEnd w:id="100"/>
    <w:bookmarkStart w:id="101"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1"/>
    <w:bookmarkStart w:id="102"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2"/>
    <w:bookmarkStart w:id="103"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bookmarkEnd w:id="103"/>
    <w:bookmarkStart w:id="104"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bookmarkEnd w:id="104"/>
    <w:bookmarkEnd w:id="105"/>
    <w:bookmarkStart w:id="107"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6">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7"/>
    <w:bookmarkStart w:id="108"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8"/>
    <w:bookmarkStart w:id="109"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These practices MUST be described in Section 4.2 of the CA’s Certificate Policy and/or Certification Practice Statement, including specifying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w:t>
      </w:r>
    </w:p>
    <w:p>
      <w:pPr>
        <w:pStyle w:val="BodyText"/>
      </w:pPr>
      <w:r>
        <w:t xml:space="preserve">Some methods relied upon for validating the Applicant’s ownership or control of the subject domain(s) (see</w:t>
      </w:r>
      <w:r>
        <w:t xml:space="preserve"> </w:t>
      </w:r>
      <w:hyperlink w:anchor="X5e8fa04e2cd845b31d90f2e711d620bbd1630c8">
        <w:r>
          <w:rPr>
            <w:rStyle w:val="Hyperlink"/>
          </w:rPr>
          <w:t xml:space="preserve">Section 3.2.2.4</w:t>
        </w:r>
      </w:hyperlink>
      <w:r>
        <w:t xml:space="preserve">) or IP address(es) (see</w:t>
      </w:r>
      <w:r>
        <w:t xml:space="preserve"> </w:t>
      </w:r>
      <w:hyperlink w:anchor="X1d2a5979132cd8b96328f2b635437a249826222">
        <w:r>
          <w:rPr>
            <w:rStyle w:val="Hyperlink"/>
          </w:rPr>
          <w:t xml:space="preserve">Section 3.2.2.5</w:t>
        </w:r>
      </w:hyperlink>
      <w:r>
        <w:t xml:space="preserve">) to be listed in a certificate require CAA records to be retrieved and processed from additional remote Network Perspectives before Certificate issuance (see</w:t>
      </w:r>
      <w:r>
        <w:t xml:space="preserve"> </w:t>
      </w:r>
      <w:hyperlink w:anchor="Xd7307c896a4b68c49f81f56ac41fca682deb4b5">
        <w:r>
          <w:rPr>
            <w:rStyle w:val="Hyperlink"/>
          </w:rPr>
          <w:t xml:space="preserve">Section 3.2.2.9</w:t>
        </w:r>
      </w:hyperlink>
      <w:r>
        <w:t xml:space="preserve">).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pPr>
        <w:pStyle w:val="BodyText"/>
      </w:pPr>
      <w:r>
        <w:t xml:space="preserve">CAs MAY check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If the CA issues a certificate after processing a CAA record, it MUST do so within the TTL of the CAA record, or 8 hours, whichever is greater.</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bookmarkEnd w:id="109"/>
    <w:bookmarkStart w:id="110" w:name="Xd7307c896a4b68c49f81f56ac41fca682deb4b5"/>
    <w:p>
      <w:pPr>
        <w:pStyle w:val="Heading4"/>
      </w:pPr>
      <w:r>
        <w:t xml:space="preserve">3.2.2.9 Multi-Perspective Issuance Corroboration</w:t>
      </w:r>
    </w:p>
    <w:p>
      <w:pPr>
        <w:pStyle w:val="FirstParagraph"/>
      </w:pPr>
      <w:r>
        <w:t xml:space="preserve">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pPr>
        <w:pStyle w:val="BodyText"/>
      </w:pPr>
      <w:r>
        <w:t xml:space="preserve">The CA MAY use either the same set, or different sets of Network Perspectives when performing Multi-Perspective Issuance Corroboration for the required 1) Domain Authorization or Control and 2) CAA Record checks.</w:t>
      </w:r>
    </w:p>
    <w:p>
      <w:pPr>
        <w:pStyle w:val="BodyText"/>
      </w:pPr>
      <w:r>
        <w:t xml:space="preserve">The set of responses from the relied upon Network Perspectives MUST provide the CA with the necessary information to allow it to affirmatively assess:</w:t>
      </w:r>
      <w:r>
        <w:t xml:space="preserve"> </w:t>
      </w:r>
      <w:r>
        <w:t xml:space="preserve">- a. the presence of the expected 1) Random Value, 2) Request Token, 3) IP Address, or 4) Contact Address, as required by the relied upon validation method specified in Sections 3.2.2.4 and 3.2.2.5; and</w:t>
      </w:r>
      <w:r>
        <w:t xml:space="preserve"> </w:t>
      </w:r>
      <w:r>
        <w:t xml:space="preserve">- b. the CA’s authority to issue to the requested domain(s), as specified in Section 3.2.2.8.</w:t>
      </w:r>
    </w:p>
    <w:p>
      <w:pPr>
        <w:pStyle w:val="BodyText"/>
      </w:pP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w:t>
      </w:r>
      <w:r>
        <w:t xml:space="preserve">describe the validation methods that require the use of Multi-Perspective Issuance Corroboration and how a Network Perspective can corroborate the outcomes determined by the Primary Network Perspective.</w:t>
      </w:r>
    </w:p>
    <w:p>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pPr>
        <w:pStyle w:val="BodyText"/>
      </w:pPr>
      <w:r>
        <w:t xml:space="preserve">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States, Provinces, or Countries the DNS resolvers reside in MUST be at least 500 km. The location of a DNS resolver is determined by the point where unencapsulated outbound DNS queries are typically first handed off to the network infrastructure providing Internet connectivity to that DNS resolver.</w:t>
      </w:r>
    </w:p>
    <w:p>
      <w:pPr>
        <w:pStyle w:val="BodyText"/>
      </w:pPr>
      <w:r>
        <w:t xml:space="preserve">CAs MAY immediately retry Multi-Perspective Issuance Corroboration using the same validation method or an alternative method (e.g., a CA can immediately retry validation using</w:t>
      </w:r>
      <w:r>
        <w:t xml:space="preserve"> </w:t>
      </w:r>
      <w:r>
        <w:t xml:space="preserve">“</w:t>
      </w:r>
      <w:r>
        <w:t xml:space="preserve">Email to DNS TXT Contact</w:t>
      </w:r>
      <w:r>
        <w:t xml:space="preserve">”</w:t>
      </w:r>
      <w:r>
        <w:t xml:space="preserve"> </w:t>
      </w:r>
      <w:r>
        <w:t xml:space="preserve">if</w:t>
      </w:r>
      <w:r>
        <w:t xml:space="preserve"> </w:t>
      </w:r>
      <w:r>
        <w:t xml:space="preserve">“</w:t>
      </w:r>
      <w:r>
        <w:t xml:space="preserve">Agreed-Upon Change to Website - ACME</w:t>
      </w:r>
      <w:r>
        <w:t xml:space="preserve">”</w:t>
      </w:r>
      <w:r>
        <w:t xml:space="preserve"> </w:t>
      </w:r>
      <w:r>
        <w:t xml:space="preserve">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pPr>
        <w:pStyle w:val="BodyText"/>
      </w:pPr>
      <w:r>
        <w:t xml:space="preserve">The</w:t>
      </w:r>
      <w:r>
        <w:t xml:space="preserve"> </w:t>
      </w:r>
      <w:r>
        <w:t xml:space="preserve">“</w:t>
      </w:r>
      <w:r>
        <w:t xml:space="preserve">Quorum Requirements</w:t>
      </w:r>
      <w:r>
        <w:t xml:space="preserve">”</w:t>
      </w:r>
      <w:r>
        <w:t xml:space="preserve"> </w:t>
      </w:r>
      <w:r>
        <w:t xml:space="preserve">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 two States, Provinces, or Countries they reside in is at least 500 km. Network Perspectives are considered</w:t>
      </w:r>
      <w:r>
        <w:t xml:space="preserve"> </w:t>
      </w:r>
      <w:r>
        <w:t xml:space="preserve">“</w:t>
      </w:r>
      <w:r>
        <w:t xml:space="preserve">remote</w:t>
      </w:r>
      <w:r>
        <w:t xml:space="preserve">”</w:t>
      </w:r>
      <w:r>
        <w:t xml:space="preserve"> </w:t>
      </w:r>
      <w:r>
        <w:t xml:space="preserve">when they are distinct from the Primary Network Perspective and the other Network Perspectives represented in a quorum.</w:t>
      </w:r>
    </w:p>
    <w:p>
      <w:pPr>
        <w:pStyle w:val="BodyText"/>
      </w:pPr>
      <w:r>
        <w:t xml:space="preserve">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pPr>
        <w:pStyle w:val="TableCaption"/>
      </w:pPr>
      <w:r>
        <w:t xml:space="preserve">Quorum Requirements</w:t>
      </w:r>
    </w:p>
    <w:tbl>
      <w:tblPr>
        <w:tblStyle w:val="Table"/>
        <w:tblW w:type="pct" w:w="5000.0"/>
        <w:tblLook w:firstRow="1" w:lastRow="0" w:firstColumn="0" w:lastColumn="0" w:noHBand="0" w:noVBand="0"/>
        <w:tblCaption w:val="Quorum Requirements"/>
      </w:tblPr>
      <w:tblGrid>
        <w:gridCol w:w="3960"/>
        <w:gridCol w:w="3960"/>
      </w:tblGrid>
      <w:tr>
        <w:trPr>
          <w:cnfStyle w:firstRow="1"/>
        </w:trPr>
        <w:tc>
          <w:tcPr>
            <w:tcBorders>
              <w:bottom w:val="single"/>
            </w:tcBorders>
            <w:vAlign w:val="bottom"/>
          </w:tcPr>
          <w:p>
            <w:pPr>
              <w:pStyle w:val="Compact"/>
              <w:jc w:val="left"/>
            </w:pPr>
            <w:r>
              <w:t xml:space="preserve"># of Distinct Remote Network Perspectives Used</w:t>
            </w:r>
          </w:p>
        </w:tc>
        <w:tc>
          <w:tcPr>
            <w:tcBorders>
              <w:bottom w:val="single"/>
            </w:tcBorders>
            <w:vAlign w:val="bottom"/>
          </w:tcPr>
          <w:p>
            <w:pPr>
              <w:pStyle w:val="Compact"/>
              <w:jc w:val="left"/>
            </w:pPr>
            <w:r>
              <w:t xml:space="preserve"># of Allowed non-Corroborations</w:t>
            </w:r>
          </w:p>
        </w:tc>
      </w:tr>
      <w:tr>
        <w:tc>
          <w:p>
            <w:pPr>
              <w:pStyle w:val="Compact"/>
              <w:jc w:val="left"/>
            </w:pPr>
            <w:r>
              <w:t xml:space="preserve">2-5</w:t>
            </w:r>
          </w:p>
        </w:tc>
        <w:tc>
          <w:p>
            <w:pPr>
              <w:pStyle w:val="Compact"/>
              <w:jc w:val="left"/>
            </w:pPr>
            <w:r>
              <w:t xml:space="preserve">1</w:t>
            </w:r>
          </w:p>
        </w:tc>
      </w:tr>
      <w:tr>
        <w:tc>
          <w:p>
            <w:pPr>
              <w:pStyle w:val="Compact"/>
              <w:jc w:val="left"/>
            </w:pPr>
            <w:r>
              <w:t xml:space="preserve">6+</w:t>
            </w:r>
          </w:p>
        </w:tc>
        <w:tc>
          <w:p>
            <w:pPr>
              <w:pStyle w:val="Compact"/>
              <w:jc w:val="left"/>
            </w:pPr>
            <w:r>
              <w:t xml:space="preserve">2</w:t>
            </w:r>
          </w:p>
        </w:tc>
      </w:tr>
    </w:tbl>
    <w:p>
      <w:pPr>
        <w:pStyle w:val="BodyText"/>
      </w:pPr>
      <w:r>
        <w:t xml:space="preserve">Remote Network Perspectives performing Multi-Perspective Issuance Corroboration:</w:t>
      </w:r>
    </w:p>
    <w:p>
      <w:pPr>
        <w:pStyle w:val="BodyText"/>
      </w:pPr>
      <w:r>
        <w:t xml:space="preserve">MUST:</w:t>
      </w:r>
      <w:r>
        <w:t xml:space="preserve"> </w:t>
      </w:r>
      <w:r>
        <w:t xml:space="preserve">- Network Hardening</w:t>
      </w:r>
      <w:r>
        <w:t xml:space="preserve"> </w:t>
      </w:r>
      <w:r>
        <w:t xml:space="preserve">- Rely upon networks (e.g., Internet Service Providers or Cloud Provider Networks) implementing measures to mitigate BGP routing incidents in the global Internet routing system for providing internet connectivity to the Network Perspective.</w:t>
      </w:r>
    </w:p>
    <w:p>
      <w:pPr>
        <w:pStyle w:val="BodyText"/>
      </w:pPr>
      <w:r>
        <w:t xml:space="preserve">SHOULD:</w:t>
      </w:r>
      <w:r>
        <w:t xml:space="preserve"> </w:t>
      </w:r>
      <w:r>
        <w:t xml:space="preserve">- Facility &amp; Service Provider Requirements</w:t>
      </w:r>
      <w:r>
        <w:t xml:space="preserve"> </w:t>
      </w:r>
      <w:r>
        <w:t xml:space="preserve">- Be hosted from an ISO/IEC 27001 certified facility or equivalent security framework independently audited and certified or reported.</w:t>
      </w:r>
      <w:r>
        <w:t xml:space="preserve"> </w:t>
      </w:r>
      <w:r>
        <w:t xml:space="preserve">- Rely on services covered in one of the following reports: System and Organization Controls 2 (SOC 2), IASE 3000, ENISA 715, FedRAMP Moderate, C5:2020, CSA STAR CCM, or equivalent services framework independently audited and certified or reported.</w:t>
      </w:r>
      <w:r>
        <w:t xml:space="preserve"> </w:t>
      </w:r>
      <w:r>
        <w:t xml:space="preserve">- Vulnerability Detection and Patch Management</w:t>
      </w:r>
      <w:r>
        <w:t xml:space="preserve"> </w:t>
      </w:r>
      <w:r>
        <w:t xml:space="preserve">- Implement intrusion detection and prevention controls to protect against common network and system threats.</w:t>
      </w:r>
      <w:r>
        <w:t xml:space="preserve"> </w:t>
      </w:r>
      <w:r>
        <w:t xml:space="preserve">- Document and follow a vulnerability correction process that addresses the identification, review, response, and remediation of vulnerabilities.</w:t>
      </w:r>
      <w:r>
        <w:t xml:space="preserve"> </w:t>
      </w:r>
      <w:r>
        <w:t xml:space="preserve">- Undergo or perform a Vulnerability Scan at least every three (3) months.</w:t>
      </w:r>
      <w:r>
        <w:t xml:space="preserve"> </w:t>
      </w:r>
      <w:r>
        <w:t xml:space="preserve">- Undergo a Penetration Test on at least an annual basis.</w:t>
      </w:r>
      <w:r>
        <w:t xml:space="preserve"> </w:t>
      </w:r>
      <w:r>
        <w:t xml:space="preserve">- Apply recommended security patches within six (6) months of the security patch’s availability, unless the CA documents that the security patch would introduce additional vulnerabilities or instabilities that outweigh the benefits of applying the security patch.</w:t>
      </w:r>
      <w:r>
        <w:t xml:space="preserve"> </w:t>
      </w:r>
      <w:r>
        <w:t xml:space="preserve">- System Hardening</w:t>
      </w:r>
      <w:r>
        <w:t xml:space="preserve"> </w:t>
      </w:r>
      <w:r>
        <w:t xml:space="preserve">- Disable all accounts, applications, services, protocols, and ports that are not used.</w:t>
      </w:r>
      <w:r>
        <w:t xml:space="preserve"> </w:t>
      </w:r>
      <w:r>
        <w:t xml:space="preserve">- Implement multi-factor authentication for all user accounts.</w:t>
      </w:r>
      <w:r>
        <w:t xml:space="preserve"> </w:t>
      </w:r>
      <w:r>
        <w:t xml:space="preserve">- Network Hardening</w:t>
      </w:r>
      <w:r>
        <w:t xml:space="preserve"> </w:t>
      </w:r>
      <w:r>
        <w:t xml:space="preserve">- Configure each network boundary control (firewall, switch, router, gateway, or other network control device or system) with rules that support only the services, protocols, ports, and communications identified as necessary to its operations.</w:t>
      </w:r>
      <w:r>
        <w:t xml:space="preserve"> </w:t>
      </w:r>
      <w:r>
        <w:t xml:space="preserve">- 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pPr>
        <w:pStyle w:val="BodyText"/>
      </w:pPr>
      <w:r>
        <w:t xml:space="preserve">Beyond the above considerations, computing systems performing Multi-Perspective Issuance Corroboration are considered outside of the audit scope described in Section 8 of these Requirements.</w:t>
      </w:r>
    </w:p>
    <w:p>
      <w:pPr>
        <w:pStyle w:val="BodyText"/>
      </w:pPr>
      <w:r>
        <w:t xml:space="preserve">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pPr>
        <w:pStyle w:val="BodyText"/>
      </w:pPr>
      <w:r>
        <w:t xml:space="preserve">Phased Implementation Timeline:</w:t>
      </w:r>
      <w:r>
        <w:t xml:space="preserve"> </w:t>
      </w:r>
      <w:r>
        <w:t xml:space="preserve">-</w:t>
      </w:r>
      <w:r>
        <w:t xml:space="preserve"> </w:t>
      </w:r>
      <w:r>
        <w:rPr>
          <w:iCs/>
          <w:i/>
        </w:rPr>
        <w:t xml:space="preserve">Effective September 15, 2024</w:t>
      </w:r>
      <w:r>
        <w:t xml:space="preserve">, the CA SHOULD implement Multi-Perspective Issuance Corroboration using at least two (2) remote Network Perspectives.</w:t>
      </w:r>
      <w:r>
        <w:t xml:space="preserve"> </w:t>
      </w:r>
      <w:r>
        <w:t xml:space="preserve">-</w:t>
      </w:r>
      <w:r>
        <w:t xml:space="preserve"> </w:t>
      </w:r>
      <w:r>
        <w:rPr>
          <w:iCs/>
          <w:i/>
        </w:rPr>
        <w:t xml:space="preserve">Effective March 15, 2025</w:t>
      </w:r>
      <w:r>
        <w:t xml:space="preserve">,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w:t>
      </w:r>
      <w:r>
        <w:t xml:space="preserve">“</w:t>
      </w:r>
      <w:r>
        <w:t xml:space="preserve">non-corroborations</w:t>
      </w:r>
      <w:r>
        <w:t xml:space="preserve">”</w:t>
      </w:r>
      <w:r>
        <w:t xml:space="preserve">) is greater than allowed in the Quorum Requirements table.</w:t>
      </w:r>
      <w:r>
        <w:br/>
      </w:r>
      <w:r>
        <w:t xml:space="preserve">-</w:t>
      </w:r>
      <w:r>
        <w:t xml:space="preserve"> </w:t>
      </w:r>
      <w:r>
        <w:rPr>
          <w:iCs/>
          <w:i/>
        </w:rPr>
        <w:t xml:space="preserve">Effective September 15, 2025</w:t>
      </w:r>
      <w:r>
        <w:t xml:space="preserve">, the CA MUST implement Multi-Perspective Issuance Corroboration using at least two (2) remote Network Perspectives. The CA MUST NOT proceed with certificate issuance if the number of non-corroborations is greater than allowed in the Quorum Requirements table.</w:t>
      </w:r>
      <w:r>
        <w:t xml:space="preserve"> </w:t>
      </w:r>
      <w:r>
        <w:t xml:space="preserve">-</w:t>
      </w:r>
      <w:r>
        <w:t xml:space="preserve"> </w:t>
      </w:r>
      <w:r>
        <w:rPr>
          <w:iCs/>
          <w:i/>
        </w:rPr>
        <w:t xml:space="preserve">Effective March 15, 2026</w:t>
      </w:r>
      <w:r>
        <w:t xml:space="preserve">, the CA MUST implement Multi-Perspective Issuance Corroboration using at least three (3)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br/>
      </w:r>
      <w:r>
        <w:t xml:space="preserve">-</w:t>
      </w:r>
      <w:r>
        <w:t xml:space="preserve"> </w:t>
      </w:r>
      <w:r>
        <w:rPr>
          <w:iCs/>
          <w:i/>
        </w:rPr>
        <w:t xml:space="preserve">Effective June 15, 2026</w:t>
      </w:r>
      <w:r>
        <w:t xml:space="preserve">, the CA MUST implement Multi-Perspective Issuance Corroboration using at least four (4)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t xml:space="preserve"> </w:t>
      </w:r>
      <w:r>
        <w:t xml:space="preserve">-</w:t>
      </w:r>
      <w:r>
        <w:t xml:space="preserve"> </w:t>
      </w:r>
      <w:r>
        <w:rPr>
          <w:iCs/>
          <w:i/>
        </w:rPr>
        <w:t xml:space="preserve">Effective December 15, 2026</w:t>
      </w:r>
      <w:r>
        <w:t xml:space="preserve">, the CA MUST implement Multi-Perspective Issuance Corroboration using at least five (5)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p>
    <w:bookmarkEnd w:id="110"/>
    <w:bookmarkEnd w:id="111"/>
    <w:bookmarkStart w:id="112"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2"/>
    <w:bookmarkStart w:id="113" w:name="X90728061f9867a90bf67e006f375b28a50b5101"/>
    <w:p>
      <w:pPr>
        <w:pStyle w:val="Heading3"/>
      </w:pPr>
      <w:r>
        <w:t xml:space="preserve">3.2.4 Non-verified subscriber information</w:t>
      </w:r>
    </w:p>
    <w:bookmarkEnd w:id="113"/>
    <w:bookmarkStart w:id="114"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4"/>
    <w:bookmarkStart w:id="115"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5"/>
    <w:bookmarkEnd w:id="116"/>
    <w:bookmarkStart w:id="119" w:name="X2dc39610f40291f0b430033932a458690ea1a6c"/>
    <w:p>
      <w:pPr>
        <w:pStyle w:val="Heading2"/>
      </w:pPr>
      <w:r>
        <w:t xml:space="preserve">3.3 Identification and authentication for re-key requests</w:t>
      </w:r>
    </w:p>
    <w:bookmarkStart w:id="117" w:name="X7309319f508392d7a7d397072abfa60a59ed0ab"/>
    <w:p>
      <w:pPr>
        <w:pStyle w:val="Heading3"/>
      </w:pPr>
      <w:r>
        <w:t xml:space="preserve">3.3.1 Identification and authentication for routine re-key</w:t>
      </w:r>
    </w:p>
    <w:bookmarkEnd w:id="117"/>
    <w:bookmarkStart w:id="118" w:name="Xb993101357c6a848b62dd30e5cc3cb2965d74e1"/>
    <w:p>
      <w:pPr>
        <w:pStyle w:val="Heading3"/>
      </w:pPr>
      <w:r>
        <w:t xml:space="preserve">3.3.2 Identification and authentication for re-key after revocation</w:t>
      </w:r>
    </w:p>
    <w:bookmarkEnd w:id="118"/>
    <w:bookmarkEnd w:id="119"/>
    <w:bookmarkStart w:id="120" w:name="X47da36e1073ff655233901fdccf3a37574e4dfd"/>
    <w:p>
      <w:pPr>
        <w:pStyle w:val="Heading2"/>
      </w:pPr>
      <w:r>
        <w:t xml:space="preserve">3.4 Identification and authentication for revocation request</w:t>
      </w:r>
    </w:p>
    <w:bookmarkEnd w:id="120"/>
    <w:bookmarkEnd w:id="121"/>
    <w:bookmarkStart w:id="193" w:name="Xe9e11c0b4264065478a4593f971903e94fcbd0a"/>
    <w:p>
      <w:pPr>
        <w:pStyle w:val="Heading1"/>
      </w:pPr>
      <w:r>
        <w:t xml:space="preserve">4. CERTIFICATE LIFE-CYCLE OPERATIONAL REQUIREMENTS</w:t>
      </w:r>
    </w:p>
    <w:bookmarkStart w:id="124" w:name="Xa29494b24bbe73bfe43f57352deb102b29afc14"/>
    <w:p>
      <w:pPr>
        <w:pStyle w:val="Heading2"/>
      </w:pPr>
      <w:r>
        <w:t xml:space="preserve">4.1 Certificate Application</w:t>
      </w:r>
    </w:p>
    <w:bookmarkStart w:id="122" w:name="X54ec4e0eb4b2336ba96ec93d27d2dd054a2f042"/>
    <w:p>
      <w:pPr>
        <w:pStyle w:val="Heading3"/>
      </w:pPr>
      <w:r>
        <w:t xml:space="preserve">4.1.1 Who can submit a certificate application</w:t>
      </w:r>
    </w:p>
    <w:p>
      <w:pPr>
        <w:pStyle w:val="FirstParagraph"/>
      </w:pPr>
      <w:r>
        <w:t xml:space="preserve">No stipulation.</w:t>
      </w:r>
    </w:p>
    <w:bookmarkEnd w:id="122"/>
    <w:bookmarkStart w:id="123"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3"/>
    <w:bookmarkEnd w:id="124"/>
    <w:bookmarkStart w:id="128" w:name="Xa7c8e55a7e2c3216481f8031a91fe70204390ba"/>
    <w:p>
      <w:pPr>
        <w:pStyle w:val="Heading2"/>
      </w:pPr>
      <w:r>
        <w:t xml:space="preserve">4.2 Certificate application processing</w:t>
      </w:r>
    </w:p>
    <w:bookmarkStart w:id="125"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5"/>
    <w:bookmarkStart w:id="126"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6"/>
    <w:bookmarkStart w:id="127" w:name="X4ee8d5897557df2144d5bc05512f68b6c909a8a"/>
    <w:p>
      <w:pPr>
        <w:pStyle w:val="Heading3"/>
      </w:pPr>
      <w:r>
        <w:t xml:space="preserve">4.2.3 Time to process certificate applications</w:t>
      </w:r>
    </w:p>
    <w:p>
      <w:pPr>
        <w:pStyle w:val="FirstParagraph"/>
      </w:pPr>
      <w:r>
        <w:t xml:space="preserve">No stipulation.</w:t>
      </w:r>
    </w:p>
    <w:bookmarkEnd w:id="127"/>
    <w:bookmarkEnd w:id="128"/>
    <w:bookmarkStart w:id="134" w:name="X08a9b2227cd4527f61b1e9cbd74a41596bb500a"/>
    <w:p>
      <w:pPr>
        <w:pStyle w:val="Heading2"/>
      </w:pPr>
      <w:r>
        <w:t xml:space="preserve">4.3 Certificate issuance</w:t>
      </w:r>
    </w:p>
    <w:bookmarkStart w:id="132" w:name="Xc7f9a4dd68eb56059f71a15cdeb0e5b3acfb8f4"/>
    <w:p>
      <w:pPr>
        <w:pStyle w:val="Heading3"/>
      </w:pPr>
      <w:r>
        <w:t xml:space="preserve">4.3.1 CA actions during certificate issuance</w:t>
      </w:r>
    </w:p>
    <w:bookmarkStart w:id="129" w:name="X3c1ae440a4e1279166f0f653dcd146e41083748"/>
    <w:p>
      <w:pPr>
        <w:pStyle w:val="Heading4"/>
      </w:pPr>
      <w:r>
        <w:t xml:space="preserve">4.3.1.1 Manual authorization of certificate issuance for Root CAs</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9"/>
    <w:bookmarkStart w:id="130" w:name="X83d7d4ddc2853a5d6b4ba24bc58bd179c68b651"/>
    <w:p>
      <w:pPr>
        <w:pStyle w:val="Heading4"/>
      </w:pPr>
      <w:r>
        <w:t xml:space="preserve">4.3.1.2 Linting of to-be-signed Certificate content</w:t>
      </w:r>
    </w:p>
    <w:p>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w:t>
      </w:r>
      <w:r>
        <w:t xml:space="preserve"> </w:t>
      </w:r>
      <w:r>
        <w:t xml:space="preserve">Effective 2024-09-15, the CA SHOULD implement such a Linting process.</w:t>
      </w:r>
      <w:r>
        <w:t xml:space="preserve"> </w:t>
      </w:r>
      <w:r>
        <w:t xml:space="preserve">Effective 2025-03-15, the CA SHALL implement such a Linting process.</w:t>
      </w:r>
    </w:p>
    <w:p>
      <w:pPr>
        <w:pStyle w:val="BodyText"/>
      </w:pPr>
      <w:r>
        <w:t xml:space="preserve">Methods used to produce a certificate containing the to-be-signed Certificate content include, but are not limited to:</w:t>
      </w:r>
    </w:p>
    <w:p>
      <w:pPr>
        <w:numPr>
          <w:ilvl w:val="0"/>
          <w:numId w:val="1027"/>
        </w:numPr>
        <w:pStyle w:val="Compact"/>
      </w:pPr>
      <w:r>
        <w:t xml:space="preserve">Sign the</w:t>
      </w:r>
      <w:r>
        <w:t xml:space="preserve"> </w:t>
      </w:r>
      <w:r>
        <w:rPr>
          <w:rStyle w:val="VerbatimChar"/>
        </w:rPr>
        <w:t xml:space="preserve">tbsCertificate</w:t>
      </w:r>
      <w:r>
        <w:t xml:space="preserve"> </w:t>
      </w:r>
      <w:r>
        <w:t xml:space="preserve">with a</w:t>
      </w:r>
      <w:r>
        <w:t xml:space="preserve"> </w:t>
      </w:r>
      <w:r>
        <w:t xml:space="preserve">“</w:t>
      </w:r>
      <w:r>
        <w:t xml:space="preserve">dummy</w:t>
      </w:r>
      <w:r>
        <w:t xml:space="preserve">”</w:t>
      </w:r>
      <w:r>
        <w:t xml:space="preserve"> </w:t>
      </w:r>
      <w:r>
        <w:t xml:space="preserve">Private Key whose Public Key component is not certified by a Certificate that chains to a publicly-trusted CA Certificate; or</w:t>
      </w:r>
    </w:p>
    <w:p>
      <w:pPr>
        <w:numPr>
          <w:ilvl w:val="0"/>
          <w:numId w:val="1027"/>
        </w:numPr>
        <w:pStyle w:val="Compact"/>
      </w:pPr>
      <w:r>
        <w:t xml:space="preserve">Specify a static value for the</w:t>
      </w:r>
      <w:r>
        <w:t xml:space="preserve"> </w:t>
      </w:r>
      <w:r>
        <w:rPr>
          <w:rStyle w:val="VerbatimChar"/>
        </w:rPr>
        <w:t xml:space="preserve">signature</w:t>
      </w:r>
      <w:r>
        <w:t xml:space="preserve"> </w:t>
      </w:r>
      <w:r>
        <w:t xml:space="preserve">field of the Certificate ASN.1 SEQUENCE.</w:t>
      </w:r>
    </w:p>
    <w:p>
      <w:pPr>
        <w:pStyle w:val="FirstParagraph"/>
      </w:pPr>
      <w:r>
        <w:t xml:space="preserve">CAs MAY implement their own certificate Linting tools, but CAs SHOULD use the Linting tools that have been widely adopted by the industry (see https://cabforum.org/resources/tools/).</w:t>
      </w:r>
    </w:p>
    <w:p>
      <w:pPr>
        <w:pStyle w:val="BodyText"/>
      </w:pPr>
      <w:r>
        <w:t xml:space="preserve">CAs are encouraged to contribute to open-source Linting projects, such as by:</w:t>
      </w:r>
    </w:p>
    <w:p>
      <w:pPr>
        <w:numPr>
          <w:ilvl w:val="0"/>
          <w:numId w:val="1028"/>
        </w:numPr>
        <w:pStyle w:val="Compact"/>
      </w:pPr>
      <w:r>
        <w:t xml:space="preserve">creating new or improving existing lints,</w:t>
      </w:r>
    </w:p>
    <w:p>
      <w:pPr>
        <w:numPr>
          <w:ilvl w:val="0"/>
          <w:numId w:val="1028"/>
        </w:numPr>
        <w:pStyle w:val="Compact"/>
      </w:pPr>
      <w:r>
        <w:t xml:space="preserve">reporting potentially inaccurate linting results as bugs,</w:t>
      </w:r>
    </w:p>
    <w:p>
      <w:pPr>
        <w:numPr>
          <w:ilvl w:val="0"/>
          <w:numId w:val="1028"/>
        </w:numPr>
        <w:pStyle w:val="Compact"/>
      </w:pPr>
      <w:r>
        <w:t xml:space="preserve">notifying maintainers of Linting software of checks that are not covered by existing lints,</w:t>
      </w:r>
    </w:p>
    <w:p>
      <w:pPr>
        <w:numPr>
          <w:ilvl w:val="0"/>
          <w:numId w:val="1028"/>
        </w:numPr>
        <w:pStyle w:val="Compact"/>
      </w:pPr>
      <w:r>
        <w:t xml:space="preserve">updating documentation of existing lints, and</w:t>
      </w:r>
    </w:p>
    <w:p>
      <w:pPr>
        <w:numPr>
          <w:ilvl w:val="0"/>
          <w:numId w:val="1028"/>
        </w:numPr>
        <w:pStyle w:val="Compact"/>
      </w:pPr>
      <w:r>
        <w:t xml:space="preserve">generating test certificates for positive/negative tests of specific lints.</w:t>
      </w:r>
    </w:p>
    <w:bookmarkEnd w:id="130"/>
    <w:bookmarkStart w:id="131" w:name="X80842073d5d049a3548d3bab77d11b8dfeb9695"/>
    <w:p>
      <w:pPr>
        <w:pStyle w:val="Heading4"/>
      </w:pPr>
      <w:r>
        <w:t xml:space="preserve">4.3.1.3 Linting of issued Certificates</w:t>
      </w:r>
    </w:p>
    <w:p>
      <w:pPr>
        <w:pStyle w:val="FirstParagraph"/>
      </w:pPr>
      <w:r>
        <w:t xml:space="preserve">CAs MAY use a Linting process to test each issued Certificate.</w:t>
      </w:r>
    </w:p>
    <w:bookmarkEnd w:id="131"/>
    <w:bookmarkEnd w:id="132"/>
    <w:bookmarkStart w:id="133"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33"/>
    <w:bookmarkEnd w:id="134"/>
    <w:bookmarkStart w:id="138" w:name="Xb834c16d38c34ba02522a734ac23dd8e56be47c"/>
    <w:p>
      <w:pPr>
        <w:pStyle w:val="Heading2"/>
      </w:pPr>
      <w:r>
        <w:t xml:space="preserve">4.4 Certificate acceptance</w:t>
      </w:r>
    </w:p>
    <w:bookmarkStart w:id="135" w:name="X2a91c0d7c2b7610768e83ece8f33be9d3e479b1"/>
    <w:p>
      <w:pPr>
        <w:pStyle w:val="Heading3"/>
      </w:pPr>
      <w:r>
        <w:t xml:space="preserve">4.4.1 Conduct constituting certificate acceptance</w:t>
      </w:r>
    </w:p>
    <w:p>
      <w:pPr>
        <w:pStyle w:val="FirstParagraph"/>
      </w:pPr>
      <w:r>
        <w:t xml:space="preserve">No stipulation.</w:t>
      </w:r>
    </w:p>
    <w:bookmarkEnd w:id="135"/>
    <w:bookmarkStart w:id="136" w:name="Xab2e5d29cd3c5f1db6b0f21fd5f3b7f8e46d15c"/>
    <w:p>
      <w:pPr>
        <w:pStyle w:val="Heading3"/>
      </w:pPr>
      <w:r>
        <w:t xml:space="preserve">4.4.2 Publication of the certificate by the CA</w:t>
      </w:r>
    </w:p>
    <w:p>
      <w:pPr>
        <w:pStyle w:val="FirstParagraph"/>
      </w:pPr>
      <w:r>
        <w:t xml:space="preserve">No stipulation.</w:t>
      </w:r>
    </w:p>
    <w:bookmarkEnd w:id="136"/>
    <w:bookmarkStart w:id="137"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7"/>
    <w:bookmarkEnd w:id="138"/>
    <w:bookmarkStart w:id="141" w:name="X38e872b6fc8069e160c14bb81fce20f68efb8b1"/>
    <w:p>
      <w:pPr>
        <w:pStyle w:val="Heading2"/>
      </w:pPr>
      <w:r>
        <w:t xml:space="preserve">4.5 Key pair and certificate usage</w:t>
      </w:r>
    </w:p>
    <w:bookmarkStart w:id="139"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9"/>
    <w:bookmarkStart w:id="140" w:name="Xb1050d63992ad4a88c86320e50fa5163f43a897"/>
    <w:p>
      <w:pPr>
        <w:pStyle w:val="Heading3"/>
      </w:pPr>
      <w:r>
        <w:t xml:space="preserve">4.5.2 Relying party public key and certificate usage</w:t>
      </w:r>
    </w:p>
    <w:p>
      <w:pPr>
        <w:pStyle w:val="FirstParagraph"/>
      </w:pPr>
      <w:r>
        <w:t xml:space="preserve">No stipulation.</w:t>
      </w:r>
    </w:p>
    <w:bookmarkEnd w:id="140"/>
    <w:bookmarkEnd w:id="141"/>
    <w:bookmarkStart w:id="149" w:name="X01b54a9b939d191b3df3b2e092a2330e7dd49a9"/>
    <w:p>
      <w:pPr>
        <w:pStyle w:val="Heading2"/>
      </w:pPr>
      <w:r>
        <w:t xml:space="preserve">4.6 Certificate renewal</w:t>
      </w:r>
    </w:p>
    <w:bookmarkStart w:id="142" w:name="X7cebbb34753a4739bcaab732022df796f28e935"/>
    <w:p>
      <w:pPr>
        <w:pStyle w:val="Heading3"/>
      </w:pPr>
      <w:r>
        <w:t xml:space="preserve">4.6.1 Circumstance for certificate renewal</w:t>
      </w:r>
    </w:p>
    <w:p>
      <w:pPr>
        <w:pStyle w:val="FirstParagraph"/>
      </w:pPr>
      <w:r>
        <w:t xml:space="preserve">No stipulation.</w:t>
      </w:r>
    </w:p>
    <w:bookmarkEnd w:id="142"/>
    <w:bookmarkStart w:id="143" w:name="X61dbbff3245ba448b50e53882159a60e43e4a84"/>
    <w:p>
      <w:pPr>
        <w:pStyle w:val="Heading3"/>
      </w:pPr>
      <w:r>
        <w:t xml:space="preserve">4.6.2 Who may request renewal</w:t>
      </w:r>
    </w:p>
    <w:p>
      <w:pPr>
        <w:pStyle w:val="FirstParagraph"/>
      </w:pPr>
      <w:r>
        <w:t xml:space="preserve">No stipulation.</w:t>
      </w:r>
    </w:p>
    <w:bookmarkEnd w:id="143"/>
    <w:bookmarkStart w:id="144" w:name="Xa197ff0b71b68324850f0cde89b3340750119e7"/>
    <w:p>
      <w:pPr>
        <w:pStyle w:val="Heading3"/>
      </w:pPr>
      <w:r>
        <w:t xml:space="preserve">4.6.3 Processing certificate renewal requests</w:t>
      </w:r>
    </w:p>
    <w:p>
      <w:pPr>
        <w:pStyle w:val="FirstParagraph"/>
      </w:pPr>
      <w:r>
        <w:t xml:space="preserve">No stipulation.</w:t>
      </w:r>
    </w:p>
    <w:bookmarkEnd w:id="144"/>
    <w:bookmarkStart w:id="145" w:name="X732c512a8188e7b744d8a197bd3d4f105ca9730"/>
    <w:p>
      <w:pPr>
        <w:pStyle w:val="Heading3"/>
      </w:pPr>
      <w:r>
        <w:t xml:space="preserve">4.6.4 Notification of new certificate issuance to subscriber</w:t>
      </w:r>
    </w:p>
    <w:p>
      <w:pPr>
        <w:pStyle w:val="FirstParagraph"/>
      </w:pPr>
      <w:r>
        <w:t xml:space="preserve">No stipulation.</w:t>
      </w:r>
    </w:p>
    <w:bookmarkEnd w:id="145"/>
    <w:bookmarkStart w:id="146" w:name="Xbc860d6f34b11109f21da59928662408ff47743"/>
    <w:p>
      <w:pPr>
        <w:pStyle w:val="Heading3"/>
      </w:pPr>
      <w:r>
        <w:t xml:space="preserve">4.6.5 Conduct constituting acceptance of a renewal certificate</w:t>
      </w:r>
    </w:p>
    <w:p>
      <w:pPr>
        <w:pStyle w:val="FirstParagraph"/>
      </w:pPr>
      <w:r>
        <w:t xml:space="preserve">No stipulation.</w:t>
      </w:r>
    </w:p>
    <w:bookmarkEnd w:id="146"/>
    <w:bookmarkStart w:id="147" w:name="Xfc4772728cd99f0cc5e26668dfadb81bba90b63"/>
    <w:p>
      <w:pPr>
        <w:pStyle w:val="Heading3"/>
      </w:pPr>
      <w:r>
        <w:t xml:space="preserve">4.6.6 Publication of the renewal certificate by the CA</w:t>
      </w:r>
    </w:p>
    <w:p>
      <w:pPr>
        <w:pStyle w:val="FirstParagraph"/>
      </w:pPr>
      <w:r>
        <w:t xml:space="preserve">No stipulation.</w:t>
      </w:r>
    </w:p>
    <w:bookmarkEnd w:id="147"/>
    <w:bookmarkStart w:id="148"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8"/>
    <w:bookmarkEnd w:id="149"/>
    <w:bookmarkStart w:id="157" w:name="X9de994046b8e62c9854d65c41be231b6d1bb87c"/>
    <w:p>
      <w:pPr>
        <w:pStyle w:val="Heading2"/>
      </w:pPr>
      <w:r>
        <w:t xml:space="preserve">4.7 Certificate re-key</w:t>
      </w:r>
    </w:p>
    <w:bookmarkStart w:id="150" w:name="Xb7982f97f433a35e39e9e7cfb98c95e7e23568c"/>
    <w:p>
      <w:pPr>
        <w:pStyle w:val="Heading3"/>
      </w:pPr>
      <w:r>
        <w:t xml:space="preserve">4.7.1 Circumstance for certificate re-key</w:t>
      </w:r>
    </w:p>
    <w:p>
      <w:pPr>
        <w:pStyle w:val="FirstParagraph"/>
      </w:pPr>
      <w:r>
        <w:t xml:space="preserve">No stipulation.</w:t>
      </w:r>
    </w:p>
    <w:bookmarkEnd w:id="150"/>
    <w:bookmarkStart w:id="151" w:name="Xafd81245adde004535290eafc86ffae57448fa7"/>
    <w:p>
      <w:pPr>
        <w:pStyle w:val="Heading3"/>
      </w:pPr>
      <w:r>
        <w:t xml:space="preserve">4.7.2 Who may request certification of a new public key</w:t>
      </w:r>
    </w:p>
    <w:p>
      <w:pPr>
        <w:pStyle w:val="FirstParagraph"/>
      </w:pPr>
      <w:r>
        <w:t xml:space="preserve">No stipulation.</w:t>
      </w:r>
    </w:p>
    <w:bookmarkEnd w:id="151"/>
    <w:bookmarkStart w:id="152" w:name="X464e37e2d0ccf60ae691df8dfee8b9fa26a2c8a"/>
    <w:p>
      <w:pPr>
        <w:pStyle w:val="Heading3"/>
      </w:pPr>
      <w:r>
        <w:t xml:space="preserve">4.7.3 Processing certificate re-keying requests</w:t>
      </w:r>
    </w:p>
    <w:p>
      <w:pPr>
        <w:pStyle w:val="FirstParagraph"/>
      </w:pPr>
      <w:r>
        <w:t xml:space="preserve">No stipulation.</w:t>
      </w:r>
    </w:p>
    <w:bookmarkEnd w:id="152"/>
    <w:bookmarkStart w:id="153" w:name="Xfeca2c9c95ef2221b0462624c2f32b720be5157"/>
    <w:p>
      <w:pPr>
        <w:pStyle w:val="Heading3"/>
      </w:pPr>
      <w:r>
        <w:t xml:space="preserve">4.7.4 Notification of new certificate issuance to subscriber</w:t>
      </w:r>
    </w:p>
    <w:p>
      <w:pPr>
        <w:pStyle w:val="FirstParagraph"/>
      </w:pPr>
      <w:r>
        <w:t xml:space="preserve">No stipulation.</w:t>
      </w:r>
    </w:p>
    <w:bookmarkEnd w:id="153"/>
    <w:bookmarkStart w:id="154" w:name="X73f13e746763fe2cb7c553081382f3ee49ddfa8"/>
    <w:p>
      <w:pPr>
        <w:pStyle w:val="Heading3"/>
      </w:pPr>
      <w:r>
        <w:t xml:space="preserve">4.7.5 Conduct constituting acceptance of a re-keyed certificate</w:t>
      </w:r>
    </w:p>
    <w:p>
      <w:pPr>
        <w:pStyle w:val="FirstParagraph"/>
      </w:pPr>
      <w:r>
        <w:t xml:space="preserve">No stipulation.</w:t>
      </w:r>
    </w:p>
    <w:bookmarkEnd w:id="154"/>
    <w:bookmarkStart w:id="155" w:name="X1f85955659ee5ac02fea231b82a31fd7f13813a"/>
    <w:p>
      <w:pPr>
        <w:pStyle w:val="Heading3"/>
      </w:pPr>
      <w:r>
        <w:t xml:space="preserve">4.7.6 Publication of the re-keyed certificate by the CA</w:t>
      </w:r>
    </w:p>
    <w:p>
      <w:pPr>
        <w:pStyle w:val="FirstParagraph"/>
      </w:pPr>
      <w:r>
        <w:t xml:space="preserve">No stipulation.</w:t>
      </w:r>
    </w:p>
    <w:bookmarkEnd w:id="155"/>
    <w:bookmarkStart w:id="156"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6"/>
    <w:bookmarkEnd w:id="157"/>
    <w:bookmarkStart w:id="165" w:name="X5e7018f8ff5984cd65bf90a33afb6c43e9b9e29"/>
    <w:p>
      <w:pPr>
        <w:pStyle w:val="Heading2"/>
      </w:pPr>
      <w:r>
        <w:t xml:space="preserve">4.8 Certificate modification</w:t>
      </w:r>
    </w:p>
    <w:bookmarkStart w:id="158" w:name="X31732ff04074613abbdcce455235a504ff0cf96"/>
    <w:p>
      <w:pPr>
        <w:pStyle w:val="Heading3"/>
      </w:pPr>
      <w:r>
        <w:t xml:space="preserve">4.8.1 Circumstance for certificate modification</w:t>
      </w:r>
    </w:p>
    <w:p>
      <w:pPr>
        <w:pStyle w:val="FirstParagraph"/>
      </w:pPr>
      <w:r>
        <w:t xml:space="preserve">No stipulation.</w:t>
      </w:r>
    </w:p>
    <w:bookmarkEnd w:id="158"/>
    <w:bookmarkStart w:id="159" w:name="X0f17450c2c51d51a94d7c5a0fe9b13261d91513"/>
    <w:p>
      <w:pPr>
        <w:pStyle w:val="Heading3"/>
      </w:pPr>
      <w:r>
        <w:t xml:space="preserve">4.8.2 Who may request certificate modification</w:t>
      </w:r>
    </w:p>
    <w:p>
      <w:pPr>
        <w:pStyle w:val="FirstParagraph"/>
      </w:pPr>
      <w:r>
        <w:t xml:space="preserve">No stipulation.</w:t>
      </w:r>
    </w:p>
    <w:bookmarkEnd w:id="159"/>
    <w:bookmarkStart w:id="160" w:name="Xeb636af870360a6299a239bd8ec79796dbcd152"/>
    <w:p>
      <w:pPr>
        <w:pStyle w:val="Heading3"/>
      </w:pPr>
      <w:r>
        <w:t xml:space="preserve">4.8.3 Processing certificate modification requests</w:t>
      </w:r>
    </w:p>
    <w:p>
      <w:pPr>
        <w:pStyle w:val="FirstParagraph"/>
      </w:pPr>
      <w:r>
        <w:t xml:space="preserve">No stipulation.</w:t>
      </w:r>
    </w:p>
    <w:bookmarkEnd w:id="160"/>
    <w:bookmarkStart w:id="161" w:name="Xb0e8e003398f1eadc80fab4fcf4595e6f5990dc"/>
    <w:p>
      <w:pPr>
        <w:pStyle w:val="Heading3"/>
      </w:pPr>
      <w:r>
        <w:t xml:space="preserve">4.8.4 Notification of new certificate issuance to subscriber</w:t>
      </w:r>
    </w:p>
    <w:p>
      <w:pPr>
        <w:pStyle w:val="FirstParagraph"/>
      </w:pPr>
      <w:r>
        <w:t xml:space="preserve">No stipulation.</w:t>
      </w:r>
    </w:p>
    <w:bookmarkEnd w:id="161"/>
    <w:bookmarkStart w:id="162" w:name="X5263253b126a76665dc33103a00fc3ca656ab4c"/>
    <w:p>
      <w:pPr>
        <w:pStyle w:val="Heading3"/>
      </w:pPr>
      <w:r>
        <w:t xml:space="preserve">4.8.5 Conduct constituting acceptance of modified certificate</w:t>
      </w:r>
    </w:p>
    <w:p>
      <w:pPr>
        <w:pStyle w:val="FirstParagraph"/>
      </w:pPr>
      <w:r>
        <w:t xml:space="preserve">No stipulation.</w:t>
      </w:r>
    </w:p>
    <w:bookmarkEnd w:id="162"/>
    <w:bookmarkStart w:id="163" w:name="X6ace64e9f40da4e1936da93ff8d276d5a5ab6a0"/>
    <w:p>
      <w:pPr>
        <w:pStyle w:val="Heading3"/>
      </w:pPr>
      <w:r>
        <w:t xml:space="preserve">4.8.6 Publication of the modified certificate by the CA</w:t>
      </w:r>
    </w:p>
    <w:p>
      <w:pPr>
        <w:pStyle w:val="FirstParagraph"/>
      </w:pPr>
      <w:r>
        <w:t xml:space="preserve">No stipulation.</w:t>
      </w:r>
    </w:p>
    <w:bookmarkEnd w:id="163"/>
    <w:bookmarkStart w:id="164"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64"/>
    <w:bookmarkEnd w:id="165"/>
    <w:bookmarkStart w:id="184" w:name="Xf38be0bf7ac63401365906f843401c3792f8611"/>
    <w:p>
      <w:pPr>
        <w:pStyle w:val="Heading2"/>
      </w:pPr>
      <w:r>
        <w:t xml:space="preserve">4.9 Certificate revocation and suspension</w:t>
      </w:r>
    </w:p>
    <w:bookmarkStart w:id="168" w:name="X81033462fbdcc1627a8e1f3242051c861f1ade0"/>
    <w:p>
      <w:pPr>
        <w:pStyle w:val="Heading3"/>
      </w:pPr>
      <w:r>
        <w:t xml:space="preserve">4.9.1 Circumstances for revocation</w:t>
      </w:r>
    </w:p>
    <w:bookmarkStart w:id="166"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9"/>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9"/>
        </w:numPr>
        <w:pStyle w:val="Compact"/>
      </w:pPr>
      <w:r>
        <w:t xml:space="preserve">The Subscriber notifies the CA that the original certificate request was not authorized and does not retroactively grant authorization (CRLReason #9, privilegeWithdrawn);</w:t>
      </w:r>
    </w:p>
    <w:p>
      <w:pPr>
        <w:numPr>
          <w:ilvl w:val="0"/>
          <w:numId w:val="1029"/>
        </w:numPr>
        <w:pStyle w:val="Compact"/>
      </w:pPr>
      <w:r>
        <w:t xml:space="preserve">The CA obtains evidence that the Subscriber’s Private Key corresponding to the Public Key in the Certificate suffered a Key Compromise (CRLReason #1, keyCompromise);</w:t>
      </w:r>
    </w:p>
    <w:p>
      <w:pPr>
        <w:numPr>
          <w:ilvl w:val="0"/>
          <w:numId w:val="1029"/>
        </w:numPr>
        <w:pStyle w:val="Compact"/>
      </w:pPr>
      <w:r>
        <w:t xml:space="preserve">The CA is made aware of a demonstrated or proven method that can easily compute the Subscriber’s Private Key based on the Public Key in the Certificate, including but not limited to those identified in</w:t>
      </w:r>
      <w:r>
        <w:t xml:space="preserve"> </w:t>
      </w:r>
      <w:hyperlink w:anchor="X1f3e343c0ed534965e7af856fa25663848d6acb">
        <w:r>
          <w:rPr>
            <w:rStyle w:val="Hyperlink"/>
          </w:rPr>
          <w:t xml:space="preserve">Section 6.1.1.3(5)</w:t>
        </w:r>
      </w:hyperlink>
      <w:r>
        <w:t xml:space="preserve"> </w:t>
      </w:r>
      <w:r>
        <w:t xml:space="preserve">(CRLReason #1, keyCompromise);</w:t>
      </w:r>
    </w:p>
    <w:p>
      <w:pPr>
        <w:numPr>
          <w:ilvl w:val="0"/>
          <w:numId w:val="1029"/>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30"/>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30"/>
        </w:numPr>
        <w:pStyle w:val="Compact"/>
      </w:pPr>
      <w:r>
        <w:t xml:space="preserve">The CA obtains evidence that the Certificate was misused (CRLReason #9, privilegeWithdrawn);</w:t>
      </w:r>
    </w:p>
    <w:p>
      <w:pPr>
        <w:numPr>
          <w:ilvl w:val="0"/>
          <w:numId w:val="1030"/>
        </w:numPr>
        <w:pStyle w:val="Compact"/>
      </w:pPr>
      <w:r>
        <w:t xml:space="preserve">The CA is made aware that a Subscriber has violated one or more of its material obligations under the Subscriber Agreement or Terms of Use (CRLReason #9, privilegeWithdrawn);</w:t>
      </w:r>
    </w:p>
    <w:p>
      <w:pPr>
        <w:numPr>
          <w:ilvl w:val="0"/>
          <w:numId w:val="1030"/>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30"/>
        </w:numPr>
        <w:pStyle w:val="Compact"/>
      </w:pPr>
      <w:r>
        <w:t xml:space="preserve">The CA is made aware that a Wildcard Certificate has been used to authenticate a fraudulently misleading subordinate Fully-Qualified Domain Name (CRLReason #9, privilegeWithdrawn);</w:t>
      </w:r>
    </w:p>
    <w:p>
      <w:pPr>
        <w:numPr>
          <w:ilvl w:val="0"/>
          <w:numId w:val="1030"/>
        </w:numPr>
        <w:pStyle w:val="Compact"/>
      </w:pPr>
      <w:r>
        <w:t xml:space="preserve">The CA is made aware of a material change in the information contained in the Certificate (CRLReason #9, privilegeWithdrawn);</w:t>
      </w:r>
    </w:p>
    <w:p>
      <w:pPr>
        <w:numPr>
          <w:ilvl w:val="0"/>
          <w:numId w:val="1030"/>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30"/>
        </w:numPr>
        <w:pStyle w:val="Compact"/>
      </w:pPr>
      <w:r>
        <w:t xml:space="preserve">The CA determines or is made aware that any of the information appearing in the Certificate is inaccurate (CRLReason #9, privilegeWithdrawn);</w:t>
      </w:r>
    </w:p>
    <w:p>
      <w:pPr>
        <w:numPr>
          <w:ilvl w:val="0"/>
          <w:numId w:val="1030"/>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30"/>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30"/>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6"/>
    <w:bookmarkStart w:id="167"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31"/>
        </w:numPr>
        <w:pStyle w:val="Compact"/>
      </w:pPr>
      <w:r>
        <w:t xml:space="preserve">The Subordinate CA requests revocation in writing;</w:t>
      </w:r>
    </w:p>
    <w:p>
      <w:pPr>
        <w:numPr>
          <w:ilvl w:val="0"/>
          <w:numId w:val="1031"/>
        </w:numPr>
        <w:pStyle w:val="Compact"/>
      </w:pPr>
      <w:r>
        <w:t xml:space="preserve">The Subordinate CA notifies the Issuing CA that the original certificate request was not authorized and does not retroactively grant authorization;</w:t>
      </w:r>
    </w:p>
    <w:p>
      <w:pPr>
        <w:numPr>
          <w:ilvl w:val="0"/>
          <w:numId w:val="1031"/>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31"/>
        </w:numPr>
        <w:pStyle w:val="Compact"/>
      </w:pPr>
      <w:r>
        <w:t xml:space="preserve">The Issuing CA obtains evidence that the Certificate was misused;</w:t>
      </w:r>
    </w:p>
    <w:p>
      <w:pPr>
        <w:numPr>
          <w:ilvl w:val="0"/>
          <w:numId w:val="1031"/>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31"/>
        </w:numPr>
        <w:pStyle w:val="Compact"/>
      </w:pPr>
      <w:r>
        <w:t xml:space="preserve">The Issuing CA determines that any of the information appearing in the Certificate is inaccurate or misleading;</w:t>
      </w:r>
    </w:p>
    <w:p>
      <w:pPr>
        <w:numPr>
          <w:ilvl w:val="0"/>
          <w:numId w:val="1031"/>
        </w:numPr>
        <w:pStyle w:val="Compact"/>
      </w:pPr>
      <w:r>
        <w:t xml:space="preserve">The Issuing CA or Subordinate CA ceases operations for any reason and has not made arrangements for another CA to provide revocation support for the Certificate;</w:t>
      </w:r>
    </w:p>
    <w:p>
      <w:pPr>
        <w:numPr>
          <w:ilvl w:val="0"/>
          <w:numId w:val="1031"/>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31"/>
        </w:numPr>
        <w:pStyle w:val="Compact"/>
      </w:pPr>
      <w:r>
        <w:t xml:space="preserve">Revocation is required by the Issuing CA’s Certificate Policy and/or Certification Practice Statement.</w:t>
      </w:r>
    </w:p>
    <w:bookmarkEnd w:id="167"/>
    <w:bookmarkEnd w:id="168"/>
    <w:bookmarkStart w:id="169"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9"/>
    <w:bookmarkStart w:id="170"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70"/>
    <w:bookmarkStart w:id="171" w:name="Xa4b938435dd45f700c996f67e30961dba38e9c5"/>
    <w:p>
      <w:pPr>
        <w:pStyle w:val="Heading3"/>
      </w:pPr>
      <w:r>
        <w:t xml:space="preserve">4.9.4 Revocation request grace period</w:t>
      </w:r>
    </w:p>
    <w:p>
      <w:pPr>
        <w:pStyle w:val="FirstParagraph"/>
      </w:pPr>
      <w:r>
        <w:t xml:space="preserve">No stipulation.</w:t>
      </w:r>
    </w:p>
    <w:bookmarkEnd w:id="171"/>
    <w:bookmarkStart w:id="172"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2"/>
        </w:numPr>
        <w:pStyle w:val="Compact"/>
      </w:pPr>
      <w:r>
        <w:t xml:space="preserve">The nature of the alleged problem (scope, context, severity, magnitude, risk of harm);</w:t>
      </w:r>
    </w:p>
    <w:p>
      <w:pPr>
        <w:numPr>
          <w:ilvl w:val="0"/>
          <w:numId w:val="1032"/>
        </w:numPr>
        <w:pStyle w:val="Compact"/>
      </w:pPr>
      <w:r>
        <w:t xml:space="preserve">The consequences of revocation (direct and collateral impacts to Subscribers and Relying Parties);</w:t>
      </w:r>
    </w:p>
    <w:p>
      <w:pPr>
        <w:numPr>
          <w:ilvl w:val="0"/>
          <w:numId w:val="1032"/>
        </w:numPr>
        <w:pStyle w:val="Compact"/>
      </w:pPr>
      <w:r>
        <w:t xml:space="preserve">The number of Certificate Problem Reports received about a particular Certificate or Subscriber;</w:t>
      </w:r>
    </w:p>
    <w:p>
      <w:pPr>
        <w:numPr>
          <w:ilvl w:val="0"/>
          <w:numId w:val="1032"/>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2"/>
        </w:numPr>
        <w:pStyle w:val="Compact"/>
      </w:pPr>
      <w:r>
        <w:t xml:space="preserve">Relevant legislation.</w:t>
      </w:r>
    </w:p>
    <w:bookmarkEnd w:id="172"/>
    <w:bookmarkStart w:id="173"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73"/>
    <w:bookmarkStart w:id="174"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4"/>
    <w:bookmarkStart w:id="175" w:name="X1dd35edbfc7d82e993bd38bfdb706812e6975fb"/>
    <w:p>
      <w:pPr>
        <w:pStyle w:val="Heading3"/>
      </w:pPr>
      <w:r>
        <w:t xml:space="preserve">4.9.8 Maximum latency for CRLs (if applicable)</w:t>
      </w:r>
    </w:p>
    <w:p>
      <w:pPr>
        <w:pStyle w:val="FirstParagraph"/>
      </w:pPr>
      <w:r>
        <w:t xml:space="preserve">No stipulation.</w:t>
      </w:r>
    </w:p>
    <w:bookmarkEnd w:id="175"/>
    <w:bookmarkStart w:id="176"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3"/>
        </w:numPr>
        <w:pStyle w:val="Compact"/>
      </w:pPr>
      <w:r>
        <w:t xml:space="preserve">Be signed by the CA that issued the Certificates whose revocation status is being checked, or</w:t>
      </w:r>
    </w:p>
    <w:p>
      <w:pPr>
        <w:numPr>
          <w:ilvl w:val="0"/>
          <w:numId w:val="1033"/>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6"/>
    <w:bookmarkStart w:id="177"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4"/>
        </w:numPr>
        <w:pStyle w:val="Compact"/>
      </w:pPr>
      <w:r>
        <w:t xml:space="preserve">OCSP responses MUST have a validity interval greater than or equal to eight hours;</w:t>
      </w:r>
    </w:p>
    <w:p>
      <w:pPr>
        <w:numPr>
          <w:ilvl w:val="0"/>
          <w:numId w:val="1034"/>
        </w:numPr>
        <w:pStyle w:val="Compact"/>
      </w:pPr>
      <w:r>
        <w:t xml:space="preserve">OCSP responses MUST have a validity interval less than or equal to ten days;</w:t>
      </w:r>
    </w:p>
    <w:p>
      <w:pPr>
        <w:numPr>
          <w:ilvl w:val="0"/>
          <w:numId w:val="1034"/>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4"/>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5"/>
        </w:numPr>
      </w:pPr>
      <w:r>
        <w:t xml:space="preserve">The CA SHALL update information provided via an Online Certificate Status Protocol</w:t>
      </w:r>
    </w:p>
    <w:p>
      <w:pPr>
        <w:numPr>
          <w:ilvl w:val="1"/>
          <w:numId w:val="1036"/>
        </w:numPr>
        <w:pStyle w:val="Compact"/>
      </w:pPr>
      <w:r>
        <w:t xml:space="preserve">at least every twelve months; and</w:t>
      </w:r>
    </w:p>
    <w:p>
      <w:pPr>
        <w:numPr>
          <w:ilvl w:val="1"/>
          <w:numId w:val="1036"/>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7"/>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7"/>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8"/>
        </w:numPr>
        <w:pStyle w:val="Compact"/>
      </w:pPr>
      <w:r>
        <w:t xml:space="preserve">the Issuing CA; or</w:t>
      </w:r>
    </w:p>
    <w:p>
      <w:pPr>
        <w:numPr>
          <w:ilvl w:val="1"/>
          <w:numId w:val="1038"/>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7"/>
        </w:numPr>
        <w:pStyle w:val="Compact"/>
      </w:pPr>
      <w:r>
        <w:t xml:space="preserve">“</w:t>
      </w:r>
      <w:r>
        <w:t xml:space="preserve">unused</w:t>
      </w:r>
      <w:r>
        <w:t xml:space="preserve">”</w:t>
      </w:r>
      <w:r>
        <w:t xml:space="preserve"> </w:t>
      </w:r>
      <w:r>
        <w:t xml:space="preserve">if neither of the previous conditions are met.</w:t>
      </w:r>
    </w:p>
    <w:bookmarkEnd w:id="177"/>
    <w:bookmarkStart w:id="178" w:name="X159caba86c5e34ac5519db6dad1389a044aaf9c"/>
    <w:p>
      <w:pPr>
        <w:pStyle w:val="Heading3"/>
      </w:pPr>
      <w:r>
        <w:t xml:space="preserve">4.9.11 Other forms of revocation advertisements available</w:t>
      </w:r>
    </w:p>
    <w:p>
      <w:pPr>
        <w:pStyle w:val="FirstParagraph"/>
      </w:pPr>
      <w:r>
        <w:t xml:space="preserve">No Stipulation.</w:t>
      </w:r>
    </w:p>
    <w:bookmarkEnd w:id="178"/>
    <w:bookmarkStart w:id="179"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9"/>
    <w:bookmarkStart w:id="180"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80"/>
    <w:bookmarkStart w:id="181" w:name="X634640e74c796f108b9f7e257854987bfdbf52a"/>
    <w:p>
      <w:pPr>
        <w:pStyle w:val="Heading3"/>
      </w:pPr>
      <w:r>
        <w:t xml:space="preserve">4.9.14 Who can request suspension</w:t>
      </w:r>
    </w:p>
    <w:p>
      <w:pPr>
        <w:pStyle w:val="FirstParagraph"/>
      </w:pPr>
      <w:r>
        <w:t xml:space="preserve">Not applicable.</w:t>
      </w:r>
    </w:p>
    <w:bookmarkEnd w:id="181"/>
    <w:bookmarkStart w:id="182" w:name="X2ba4b94927e705ec587d2af5455862b45fd59cf"/>
    <w:p>
      <w:pPr>
        <w:pStyle w:val="Heading3"/>
      </w:pPr>
      <w:r>
        <w:t xml:space="preserve">4.9.15 Procedure for suspension request</w:t>
      </w:r>
    </w:p>
    <w:p>
      <w:pPr>
        <w:pStyle w:val="FirstParagraph"/>
      </w:pPr>
      <w:r>
        <w:t xml:space="preserve">Not applicable.</w:t>
      </w:r>
    </w:p>
    <w:bookmarkEnd w:id="182"/>
    <w:bookmarkStart w:id="183" w:name="X61202b656663ae17215b3d61e6ac92e146d9d4a"/>
    <w:p>
      <w:pPr>
        <w:pStyle w:val="Heading3"/>
      </w:pPr>
      <w:r>
        <w:t xml:space="preserve">4.9.16 Limits on suspension period</w:t>
      </w:r>
    </w:p>
    <w:p>
      <w:pPr>
        <w:pStyle w:val="FirstParagraph"/>
      </w:pPr>
      <w:r>
        <w:t xml:space="preserve">Not applicable.</w:t>
      </w:r>
    </w:p>
    <w:bookmarkEnd w:id="183"/>
    <w:bookmarkEnd w:id="184"/>
    <w:bookmarkStart w:id="188" w:name="Xa70078d8319b254d625988ebbdfb3bf82e575bc"/>
    <w:p>
      <w:pPr>
        <w:pStyle w:val="Heading2"/>
      </w:pPr>
      <w:r>
        <w:t xml:space="preserve">4.10 Certificate status services</w:t>
      </w:r>
    </w:p>
    <w:bookmarkStart w:id="185"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5"/>
    <w:bookmarkStart w:id="186"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6"/>
    <w:bookmarkStart w:id="187" w:name="X76ed370bafdde568e95cf29f52b1628a96bba75"/>
    <w:p>
      <w:pPr>
        <w:pStyle w:val="Heading3"/>
      </w:pPr>
      <w:r>
        <w:t xml:space="preserve">4.10.3 Optional features</w:t>
      </w:r>
    </w:p>
    <w:p>
      <w:pPr>
        <w:pStyle w:val="FirstParagraph"/>
      </w:pPr>
      <w:r>
        <w:t xml:space="preserve">No stipulation.</w:t>
      </w:r>
    </w:p>
    <w:bookmarkEnd w:id="187"/>
    <w:bookmarkEnd w:id="188"/>
    <w:bookmarkStart w:id="189" w:name="Xa144f0cfedfe6d44762be1d3e2156fdcff8b232"/>
    <w:p>
      <w:pPr>
        <w:pStyle w:val="Heading2"/>
      </w:pPr>
      <w:r>
        <w:t xml:space="preserve">4.11 End of subscription</w:t>
      </w:r>
    </w:p>
    <w:p>
      <w:pPr>
        <w:pStyle w:val="FirstParagraph"/>
      </w:pPr>
      <w:r>
        <w:t xml:space="preserve">No stipulation.</w:t>
      </w:r>
    </w:p>
    <w:bookmarkEnd w:id="189"/>
    <w:bookmarkStart w:id="192" w:name="Xbde68fc21e60c0076bdd42ac1c9f5ed935399a5"/>
    <w:p>
      <w:pPr>
        <w:pStyle w:val="Heading2"/>
      </w:pPr>
      <w:r>
        <w:t xml:space="preserve">4.12 Key escrow and recovery</w:t>
      </w:r>
    </w:p>
    <w:bookmarkStart w:id="190" w:name="Xa7e9a1cb3af88bb8e0c211393dcce7c3843a540"/>
    <w:p>
      <w:pPr>
        <w:pStyle w:val="Heading3"/>
      </w:pPr>
      <w:r>
        <w:t xml:space="preserve">4.12.1 Key escrow and recovery policy and practices</w:t>
      </w:r>
    </w:p>
    <w:p>
      <w:pPr>
        <w:pStyle w:val="FirstParagraph"/>
      </w:pPr>
      <w:r>
        <w:t xml:space="preserve">No stipulation.</w:t>
      </w:r>
    </w:p>
    <w:bookmarkEnd w:id="190"/>
    <w:bookmarkStart w:id="191" w:name="X82d14daacd432ce43607e6c91acd160881c08fe"/>
    <w:p>
      <w:pPr>
        <w:pStyle w:val="Heading3"/>
      </w:pPr>
      <w:r>
        <w:t xml:space="preserve">4.12.2 Session key encapsulation and recovery policy and practices</w:t>
      </w:r>
    </w:p>
    <w:p>
      <w:pPr>
        <w:pStyle w:val="FirstParagraph"/>
      </w:pPr>
      <w:r>
        <w:t xml:space="preserve">Not applicable.</w:t>
      </w:r>
    </w:p>
    <w:bookmarkEnd w:id="191"/>
    <w:bookmarkEnd w:id="192"/>
    <w:bookmarkEnd w:id="193"/>
    <w:bookmarkStart w:id="242"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9"/>
        </w:numPr>
        <w:pStyle w:val="Compact"/>
      </w:pPr>
      <w:r>
        <w:t xml:space="preserve">Protect the confidentiality, integrity, and availability of Certificate Data and Certificate Management Processes;</w:t>
      </w:r>
    </w:p>
    <w:p>
      <w:pPr>
        <w:numPr>
          <w:ilvl w:val="0"/>
          <w:numId w:val="1039"/>
        </w:numPr>
        <w:pStyle w:val="Compact"/>
      </w:pPr>
      <w:r>
        <w:t xml:space="preserve">Protect against anticipated threats or hazards to the confidentiality, integrity, and availability of the Certificate Data and Certificate Management Processes;</w:t>
      </w:r>
    </w:p>
    <w:p>
      <w:pPr>
        <w:numPr>
          <w:ilvl w:val="0"/>
          <w:numId w:val="1039"/>
        </w:numPr>
        <w:pStyle w:val="Compact"/>
      </w:pPr>
      <w:r>
        <w:t xml:space="preserve">Protect against unauthorized or unlawful access, use, disclosure, alteration, or destruction of any Certificate Data or Certificate Management Processes;</w:t>
      </w:r>
    </w:p>
    <w:p>
      <w:pPr>
        <w:numPr>
          <w:ilvl w:val="0"/>
          <w:numId w:val="1039"/>
        </w:numPr>
        <w:pStyle w:val="Compact"/>
      </w:pPr>
      <w:r>
        <w:t xml:space="preserve">Protect against accidental loss or destruction of, or damage to, any Certificate Data or Certificate Management Processes; and</w:t>
      </w:r>
    </w:p>
    <w:p>
      <w:pPr>
        <w:numPr>
          <w:ilvl w:val="0"/>
          <w:numId w:val="1039"/>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40"/>
        </w:numPr>
        <w:pStyle w:val="Compact"/>
      </w:pPr>
      <w:r>
        <w:t xml:space="preserve">physical security and environmental controls;</w:t>
      </w:r>
    </w:p>
    <w:p>
      <w:pPr>
        <w:numPr>
          <w:ilvl w:val="0"/>
          <w:numId w:val="1040"/>
        </w:numPr>
        <w:pStyle w:val="Compact"/>
      </w:pPr>
      <w:r>
        <w:t xml:space="preserve">system integrity controls, including configuration management, integrity maintenance of trusted code, and malware detection/prevention;</w:t>
      </w:r>
    </w:p>
    <w:p>
      <w:pPr>
        <w:numPr>
          <w:ilvl w:val="0"/>
          <w:numId w:val="1040"/>
        </w:numPr>
        <w:pStyle w:val="Compact"/>
      </w:pPr>
      <w:r>
        <w:t xml:space="preserve">network security and firewall management, including port restrictions and IP address filtering;</w:t>
      </w:r>
    </w:p>
    <w:p>
      <w:pPr>
        <w:numPr>
          <w:ilvl w:val="0"/>
          <w:numId w:val="1040"/>
        </w:numPr>
        <w:pStyle w:val="Compact"/>
      </w:pPr>
      <w:r>
        <w:t xml:space="preserve">user management, separate trusted-role assignments, education, awareness, and training; and</w:t>
      </w:r>
    </w:p>
    <w:p>
      <w:pPr>
        <w:numPr>
          <w:ilvl w:val="0"/>
          <w:numId w:val="1040"/>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41"/>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1"/>
        </w:numPr>
        <w:pStyle w:val="Compact"/>
      </w:pPr>
      <w:r>
        <w:t xml:space="preserve">Assesses the likelihood and potential damage of these threats, taking into consideration the sensitivity of the Certificate Data and Certificate Management Processes; and</w:t>
      </w:r>
    </w:p>
    <w:p>
      <w:pPr>
        <w:numPr>
          <w:ilvl w:val="0"/>
          <w:numId w:val="1041"/>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202" w:name="X98d68ee1c7716c1230ed615b6be3050094d2643"/>
    <w:p>
      <w:pPr>
        <w:pStyle w:val="Heading2"/>
      </w:pPr>
      <w:r>
        <w:t xml:space="preserve">5.1 Physical Security Controls</w:t>
      </w:r>
    </w:p>
    <w:bookmarkStart w:id="194" w:name="Xb6f1b5f393cd51c849eb9e2d68b45bf9c49ef23"/>
    <w:p>
      <w:pPr>
        <w:pStyle w:val="Heading3"/>
      </w:pPr>
      <w:r>
        <w:t xml:space="preserve">5.1.1 Site location and construction</w:t>
      </w:r>
    </w:p>
    <w:bookmarkEnd w:id="194"/>
    <w:bookmarkStart w:id="195" w:name="Xd2d5315ecb934ae4f124850c347848bce0c2c34"/>
    <w:p>
      <w:pPr>
        <w:pStyle w:val="Heading3"/>
      </w:pPr>
      <w:r>
        <w:t xml:space="preserve">5.1.2 Physical access</w:t>
      </w:r>
    </w:p>
    <w:bookmarkEnd w:id="195"/>
    <w:bookmarkStart w:id="196" w:name="Xfa25a439327a067d3a343253584ebc6c7253310"/>
    <w:p>
      <w:pPr>
        <w:pStyle w:val="Heading3"/>
      </w:pPr>
      <w:r>
        <w:t xml:space="preserve">5.1.3 Power and air conditioning</w:t>
      </w:r>
    </w:p>
    <w:bookmarkEnd w:id="196"/>
    <w:bookmarkStart w:id="197" w:name="Xc8ebee009600f2c707b9692216007eeb0eccf80"/>
    <w:p>
      <w:pPr>
        <w:pStyle w:val="Heading3"/>
      </w:pPr>
      <w:r>
        <w:t xml:space="preserve">5.1.4 Water exposures</w:t>
      </w:r>
    </w:p>
    <w:bookmarkEnd w:id="197"/>
    <w:bookmarkStart w:id="198" w:name="X754f96b1edfa8eb8313063a0caf050a20f1e80c"/>
    <w:p>
      <w:pPr>
        <w:pStyle w:val="Heading3"/>
      </w:pPr>
      <w:r>
        <w:t xml:space="preserve">5.1.5 Fire prevention and protection</w:t>
      </w:r>
    </w:p>
    <w:bookmarkEnd w:id="198"/>
    <w:bookmarkStart w:id="199" w:name="Xa1b60dba5083fc7b8e8d8c8c2008a8572497ec1"/>
    <w:p>
      <w:pPr>
        <w:pStyle w:val="Heading3"/>
      </w:pPr>
      <w:r>
        <w:t xml:space="preserve">5.1.6 Media storage</w:t>
      </w:r>
    </w:p>
    <w:bookmarkEnd w:id="199"/>
    <w:bookmarkStart w:id="200" w:name="Xe60ea3342689ce44e86d95685de458ba08ec841"/>
    <w:p>
      <w:pPr>
        <w:pStyle w:val="Heading3"/>
      </w:pPr>
      <w:r>
        <w:t xml:space="preserve">5.1.7 Waste disposal</w:t>
      </w:r>
    </w:p>
    <w:bookmarkEnd w:id="200"/>
    <w:bookmarkStart w:id="201" w:name="X73dffd16269dd51c9fb09971352c4c482866837"/>
    <w:p>
      <w:pPr>
        <w:pStyle w:val="Heading3"/>
      </w:pPr>
      <w:r>
        <w:t xml:space="preserve">5.1.8 Off-site backup</w:t>
      </w:r>
    </w:p>
    <w:bookmarkEnd w:id="201"/>
    <w:bookmarkEnd w:id="202"/>
    <w:bookmarkStart w:id="207" w:name="X4ee70fc9f8617992352a5bd4c46928f0d96bd32"/>
    <w:p>
      <w:pPr>
        <w:pStyle w:val="Heading2"/>
      </w:pPr>
      <w:r>
        <w:t xml:space="preserve">5.2 Procedural controls</w:t>
      </w:r>
    </w:p>
    <w:bookmarkStart w:id="203" w:name="Xac9b12537824616ad3034d69e1ef7bb2ac33fda"/>
    <w:p>
      <w:pPr>
        <w:pStyle w:val="Heading3"/>
      </w:pPr>
      <w:r>
        <w:t xml:space="preserve">5.2.1 Trusted roles</w:t>
      </w:r>
    </w:p>
    <w:bookmarkEnd w:id="203"/>
    <w:bookmarkStart w:id="204"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4"/>
    <w:bookmarkStart w:id="205" w:name="X3ce48db9a9d2c8ecad4cdf6a1d3f80cb194e831"/>
    <w:p>
      <w:pPr>
        <w:pStyle w:val="Heading3"/>
      </w:pPr>
      <w:r>
        <w:t xml:space="preserve">5.2.3 Identification and authentication for each role</w:t>
      </w:r>
    </w:p>
    <w:bookmarkEnd w:id="205"/>
    <w:bookmarkStart w:id="206" w:name="X642762ff06462346885bdb8e05a20b23bcbda1e"/>
    <w:p>
      <w:pPr>
        <w:pStyle w:val="Heading3"/>
      </w:pPr>
      <w:r>
        <w:t xml:space="preserve">5.2.4 Roles requiring separation of duties</w:t>
      </w:r>
    </w:p>
    <w:bookmarkEnd w:id="206"/>
    <w:bookmarkEnd w:id="207"/>
    <w:bookmarkStart w:id="216" w:name="X9e6b79f2a3cbdbc85dd8dbc56e6b968b46dcec5"/>
    <w:p>
      <w:pPr>
        <w:pStyle w:val="Heading2"/>
      </w:pPr>
      <w:r>
        <w:t xml:space="preserve">5.3 Personnel controls</w:t>
      </w:r>
    </w:p>
    <w:bookmarkStart w:id="208"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8"/>
    <w:bookmarkStart w:id="209" w:name="Xe7565d9efcd3ec62ca732d69081bf6f62e98d95"/>
    <w:p>
      <w:pPr>
        <w:pStyle w:val="Heading3"/>
      </w:pPr>
      <w:r>
        <w:t xml:space="preserve">5.3.2 Background check procedures</w:t>
      </w:r>
    </w:p>
    <w:bookmarkEnd w:id="209"/>
    <w:bookmarkStart w:id="210"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10"/>
    <w:bookmarkStart w:id="211"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11"/>
    <w:bookmarkStart w:id="212" w:name="Xde38cd455968566caa9184ef24acab8f0d68345"/>
    <w:p>
      <w:pPr>
        <w:pStyle w:val="Heading3"/>
      </w:pPr>
      <w:r>
        <w:t xml:space="preserve">5.3.5 Job rotation frequency and sequence</w:t>
      </w:r>
    </w:p>
    <w:bookmarkEnd w:id="212"/>
    <w:bookmarkStart w:id="213" w:name="Xf6c002936edcd23d608481e9e1dcaee0778724c"/>
    <w:p>
      <w:pPr>
        <w:pStyle w:val="Heading3"/>
      </w:pPr>
      <w:r>
        <w:t xml:space="preserve">5.3.6 Sanctions for unauthorized actions</w:t>
      </w:r>
    </w:p>
    <w:bookmarkEnd w:id="213"/>
    <w:bookmarkStart w:id="214"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4"/>
    <w:bookmarkStart w:id="215" w:name="X2d11dfa0fab276f2c277be99b661a49d44911c3"/>
    <w:p>
      <w:pPr>
        <w:pStyle w:val="Heading3"/>
      </w:pPr>
      <w:r>
        <w:t xml:space="preserve">5.3.8 Documentation supplied to personnel</w:t>
      </w:r>
    </w:p>
    <w:bookmarkEnd w:id="215"/>
    <w:bookmarkEnd w:id="216"/>
    <w:bookmarkStart w:id="226" w:name="X5572b34f1b9fe628192d5ae89bbfcdfea4bedeb"/>
    <w:p>
      <w:pPr>
        <w:pStyle w:val="Heading2"/>
      </w:pPr>
      <w:r>
        <w:t xml:space="preserve">5.4 Audit logging procedures</w:t>
      </w:r>
    </w:p>
    <w:bookmarkStart w:id="218"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2"/>
        </w:numPr>
        <w:pStyle w:val="Compact"/>
      </w:pPr>
      <w:r>
        <w:t xml:space="preserve">CA certificate and key lifecycle events, including:</w:t>
      </w:r>
    </w:p>
    <w:p>
      <w:pPr>
        <w:numPr>
          <w:ilvl w:val="1"/>
          <w:numId w:val="1043"/>
        </w:numPr>
        <w:pStyle w:val="Compact"/>
      </w:pPr>
      <w:r>
        <w:t xml:space="preserve">Key generation, backup, storage, recovery, archival, and destruction;</w:t>
      </w:r>
    </w:p>
    <w:p>
      <w:pPr>
        <w:numPr>
          <w:ilvl w:val="1"/>
          <w:numId w:val="1043"/>
        </w:numPr>
        <w:pStyle w:val="Compact"/>
      </w:pPr>
      <w:r>
        <w:t xml:space="preserve">Certificate requests, renewal, and re-key requests, and revocation;</w:t>
      </w:r>
    </w:p>
    <w:p>
      <w:pPr>
        <w:numPr>
          <w:ilvl w:val="1"/>
          <w:numId w:val="1043"/>
        </w:numPr>
        <w:pStyle w:val="Compact"/>
      </w:pPr>
      <w:r>
        <w:t xml:space="preserve">Approval and rejection of certificate requests;</w:t>
      </w:r>
    </w:p>
    <w:p>
      <w:pPr>
        <w:numPr>
          <w:ilvl w:val="1"/>
          <w:numId w:val="1043"/>
        </w:numPr>
        <w:pStyle w:val="Compact"/>
      </w:pPr>
      <w:r>
        <w:t xml:space="preserve">Cryptographic device lifecycle management events;</w:t>
      </w:r>
    </w:p>
    <w:p>
      <w:pPr>
        <w:numPr>
          <w:ilvl w:val="1"/>
          <w:numId w:val="1043"/>
        </w:numPr>
        <w:pStyle w:val="Compact"/>
      </w:pPr>
      <w:r>
        <w:t xml:space="preserve">Generation of Certificate Revocation Lists;</w:t>
      </w:r>
    </w:p>
    <w:p>
      <w:pPr>
        <w:numPr>
          <w:ilvl w:val="1"/>
          <w:numId w:val="1043"/>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3"/>
        </w:numPr>
        <w:pStyle w:val="Compact"/>
      </w:pPr>
      <w:r>
        <w:t xml:space="preserve">Introduction of new Certificate Profiles and retirement of existing Certificate Profiles.</w:t>
      </w:r>
    </w:p>
    <w:p>
      <w:pPr>
        <w:numPr>
          <w:ilvl w:val="0"/>
          <w:numId w:val="1042"/>
        </w:numPr>
        <w:pStyle w:val="Compact"/>
      </w:pPr>
      <w:r>
        <w:t xml:space="preserve">Subscriber Certificate lifecycle management events, including:</w:t>
      </w:r>
    </w:p>
    <w:p>
      <w:pPr>
        <w:numPr>
          <w:ilvl w:val="1"/>
          <w:numId w:val="1044"/>
        </w:numPr>
        <w:pStyle w:val="Compact"/>
      </w:pPr>
      <w:r>
        <w:t xml:space="preserve">Certificate requests, renewal, and re-key requests, and revocation;</w:t>
      </w:r>
    </w:p>
    <w:p>
      <w:pPr>
        <w:numPr>
          <w:ilvl w:val="1"/>
          <w:numId w:val="1044"/>
        </w:numPr>
        <w:pStyle w:val="Compact"/>
      </w:pPr>
      <w:r>
        <w:t xml:space="preserve">All verification activities stipulated in these Requirements and the CA’s Certification Practice Statement;</w:t>
      </w:r>
    </w:p>
    <w:p>
      <w:pPr>
        <w:numPr>
          <w:ilvl w:val="1"/>
          <w:numId w:val="1044"/>
        </w:numPr>
        <w:pStyle w:val="Compact"/>
      </w:pPr>
      <w:r>
        <w:t xml:space="preserve">Approval and rejection of certificate requests;</w:t>
      </w:r>
    </w:p>
    <w:p>
      <w:pPr>
        <w:numPr>
          <w:ilvl w:val="1"/>
          <w:numId w:val="1044"/>
        </w:numPr>
        <w:pStyle w:val="Compact"/>
      </w:pPr>
      <w:r>
        <w:t xml:space="preserve">Issuance of Certificates;</w:t>
      </w:r>
    </w:p>
    <w:p>
      <w:pPr>
        <w:numPr>
          <w:ilvl w:val="1"/>
          <w:numId w:val="1044"/>
        </w:numPr>
        <w:pStyle w:val="Compact"/>
      </w:pPr>
      <w:r>
        <w:t xml:space="preserve">Generation of Certificate Revocation Lists; and</w:t>
      </w:r>
    </w:p>
    <w:p>
      <w:pPr>
        <w:numPr>
          <w:ilvl w:val="1"/>
          <w:numId w:val="1044"/>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1"/>
          <w:numId w:val="1044"/>
        </w:numPr>
        <w:pStyle w:val="Compact"/>
      </w:pPr>
      <w:r>
        <w:t xml:space="preserve">Multi-Perspective Issuance Corroboration attempts from each Network Perspective, minimally recording the following information:</w:t>
      </w:r>
    </w:p>
    <w:p>
      <w:pPr>
        <w:numPr>
          <w:ilvl w:val="2"/>
          <w:numId w:val="1045"/>
        </w:numPr>
        <w:pStyle w:val="Compact"/>
      </w:pPr>
    </w:p>
    <w:p>
      <w:pPr>
        <w:numPr>
          <w:ilvl w:val="3"/>
          <w:numId w:val="1046"/>
        </w:numPr>
        <w:pStyle w:val="Compact"/>
      </w:pPr>
      <w:r>
        <w:t xml:space="preserve">an identifier that uniquely identifies the Network Perspective used;</w:t>
      </w:r>
    </w:p>
    <w:p>
      <w:pPr>
        <w:numPr>
          <w:ilvl w:val="2"/>
          <w:numId w:val="1045"/>
        </w:numPr>
        <w:pStyle w:val="Compact"/>
      </w:pPr>
    </w:p>
    <w:p>
      <w:pPr>
        <w:numPr>
          <w:ilvl w:val="3"/>
          <w:numId w:val="1047"/>
        </w:numPr>
        <w:pStyle w:val="Compact"/>
      </w:pPr>
      <w:r>
        <w:t xml:space="preserve">the attempted domain name and/or IP address; and</w:t>
      </w:r>
    </w:p>
    <w:p>
      <w:pPr>
        <w:numPr>
          <w:ilvl w:val="2"/>
          <w:numId w:val="1045"/>
        </w:numPr>
        <w:pStyle w:val="Compact"/>
      </w:pPr>
    </w:p>
    <w:p>
      <w:pPr>
        <w:numPr>
          <w:ilvl w:val="3"/>
          <w:numId w:val="1048"/>
        </w:numPr>
        <w:pStyle w:val="Compact"/>
      </w:pPr>
      <w:r>
        <w:t xml:space="preserve">the result of the attempt (e.g.,</w:t>
      </w:r>
      <w:r>
        <w:t xml:space="preserve"> </w:t>
      </w:r>
      <w:r>
        <w:t xml:space="preserve">“</w:t>
      </w:r>
      <w:r>
        <w:t xml:space="preserve">domain validation pass/fail</w:t>
      </w:r>
      <w:r>
        <w:t xml:space="preserve">”</w:t>
      </w:r>
      <w:r>
        <w:t xml:space="preserve">,</w:t>
      </w:r>
      <w:r>
        <w:t xml:space="preserve"> </w:t>
      </w:r>
      <w:r>
        <w:t xml:space="preserve">“</w:t>
      </w:r>
      <w:r>
        <w:t xml:space="preserve">CAA permission/prohibition</w:t>
      </w:r>
      <w:r>
        <w:t xml:space="preserve">”</w:t>
      </w:r>
      <w:r>
        <w:t xml:space="preserve">).</w:t>
      </w:r>
    </w:p>
    <w:p>
      <w:pPr>
        <w:numPr>
          <w:ilvl w:val="1"/>
          <w:numId w:val="1044"/>
        </w:numPr>
        <w:pStyle w:val="Compact"/>
      </w:pPr>
      <w:r>
        <w:t xml:space="preserve">Multi-Perspective Issuance Corroboration quorum results for each attempted domain name or IP address represented in a Certificate request (i.e.,</w:t>
      </w:r>
      <w:r>
        <w:t xml:space="preserve"> </w:t>
      </w:r>
      <w:r>
        <w:t xml:space="preserve">“</w:t>
      </w:r>
      <w:r>
        <w:t xml:space="preserve">3/4</w:t>
      </w:r>
      <w:r>
        <w:t xml:space="preserve">”</w:t>
      </w:r>
      <w:r>
        <w:t xml:space="preserve"> </w:t>
      </w:r>
      <w:r>
        <w:t xml:space="preserve">which should be interpreted as "Three (3) out of four (4) attempted Network Perspectives corroborated the determinations made by the Primary Network Perspective).</w:t>
      </w:r>
    </w:p>
    <w:p>
      <w:pPr>
        <w:numPr>
          <w:ilvl w:val="0"/>
          <w:numId w:val="1042"/>
        </w:numPr>
        <w:pStyle w:val="Compact"/>
      </w:pPr>
      <w:r>
        <w:t xml:space="preserve">Security events, including:</w:t>
      </w:r>
    </w:p>
    <w:p>
      <w:pPr>
        <w:numPr>
          <w:ilvl w:val="1"/>
          <w:numId w:val="1049"/>
        </w:numPr>
        <w:pStyle w:val="Compact"/>
      </w:pPr>
      <w:r>
        <w:t xml:space="preserve">Successful and unsuccessful PKI system access attempts;</w:t>
      </w:r>
    </w:p>
    <w:p>
      <w:pPr>
        <w:numPr>
          <w:ilvl w:val="1"/>
          <w:numId w:val="1049"/>
        </w:numPr>
        <w:pStyle w:val="Compact"/>
      </w:pPr>
      <w:r>
        <w:t xml:space="preserve">PKI and security system actions performed;</w:t>
      </w:r>
    </w:p>
    <w:p>
      <w:pPr>
        <w:numPr>
          <w:ilvl w:val="1"/>
          <w:numId w:val="1049"/>
        </w:numPr>
        <w:pStyle w:val="Compact"/>
      </w:pPr>
      <w:r>
        <w:t xml:space="preserve">Security profile changes;</w:t>
      </w:r>
    </w:p>
    <w:p>
      <w:pPr>
        <w:numPr>
          <w:ilvl w:val="1"/>
          <w:numId w:val="1049"/>
        </w:numPr>
        <w:pStyle w:val="Compact"/>
      </w:pPr>
      <w:r>
        <w:t xml:space="preserve">Installation, update and removal of software on a Certificate System;</w:t>
      </w:r>
    </w:p>
    <w:p>
      <w:pPr>
        <w:numPr>
          <w:ilvl w:val="1"/>
          <w:numId w:val="1049"/>
        </w:numPr>
        <w:pStyle w:val="Compact"/>
      </w:pPr>
      <w:r>
        <w:t xml:space="preserve">System crashes, hardware failures, and other anomalies;</w:t>
      </w:r>
    </w:p>
    <w:p>
      <w:pPr>
        <w:numPr>
          <w:ilvl w:val="1"/>
          <w:numId w:val="1049"/>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9"/>
        </w:numPr>
        <w:pStyle w:val="Compact"/>
      </w:pPr>
      <w:r>
        <w:t xml:space="preserve">Entries to and exits from the CA facility.</w:t>
      </w:r>
    </w:p>
    <w:p>
      <w:pPr>
        <w:pStyle w:val="FirstParagraph"/>
      </w:pPr>
      <w:r>
        <w:t xml:space="preserve">Log records MUST include at least the following elements:</w:t>
      </w:r>
    </w:p>
    <w:p>
      <w:pPr>
        <w:numPr>
          <w:ilvl w:val="0"/>
          <w:numId w:val="1050"/>
        </w:numPr>
        <w:pStyle w:val="Compact"/>
      </w:pPr>
      <w:r>
        <w:t xml:space="preserve">Date and time of event;</w:t>
      </w:r>
    </w:p>
    <w:p>
      <w:pPr>
        <w:numPr>
          <w:ilvl w:val="0"/>
          <w:numId w:val="1050"/>
        </w:numPr>
        <w:pStyle w:val="Compact"/>
      </w:pPr>
      <w:r>
        <w:t xml:space="preserve">Identity of the person making the journal record (when applicable); and</w:t>
      </w:r>
    </w:p>
    <w:p>
      <w:pPr>
        <w:numPr>
          <w:ilvl w:val="0"/>
          <w:numId w:val="1050"/>
        </w:numPr>
        <w:pStyle w:val="Compact"/>
      </w:pPr>
      <w:r>
        <w:t xml:space="preserve">Description of the event.</w:t>
      </w:r>
    </w:p>
    <w:bookmarkStart w:id="217"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51"/>
        </w:numPr>
        <w:pStyle w:val="Compact"/>
      </w:pPr>
      <w:r>
        <w:t xml:space="preserve">Successful and unsuccessful login attempts to routers and firewalls; and</w:t>
      </w:r>
    </w:p>
    <w:p>
      <w:pPr>
        <w:numPr>
          <w:ilvl w:val="0"/>
          <w:numId w:val="1051"/>
        </w:numPr>
        <w:pStyle w:val="Compact"/>
      </w:pPr>
      <w:r>
        <w:t xml:space="preserve">Logging of all administrative actions performed on routers and firewalls, including configuration changes, firmware updates, and access control modifications; and</w:t>
      </w:r>
    </w:p>
    <w:p>
      <w:pPr>
        <w:numPr>
          <w:ilvl w:val="0"/>
          <w:numId w:val="1051"/>
        </w:numPr>
        <w:pStyle w:val="Compact"/>
      </w:pPr>
      <w:r>
        <w:t xml:space="preserve">Logging of all changes made to firewall rules, including additions, modifications, and deletions; and</w:t>
      </w:r>
    </w:p>
    <w:p>
      <w:pPr>
        <w:numPr>
          <w:ilvl w:val="0"/>
          <w:numId w:val="1051"/>
        </w:numPr>
        <w:pStyle w:val="Compact"/>
      </w:pPr>
      <w:r>
        <w:t xml:space="preserve">Logging of all system events and errors, including hardware failures, software crashes, and system restarts.</w:t>
      </w:r>
    </w:p>
    <w:bookmarkEnd w:id="217"/>
    <w:bookmarkEnd w:id="218"/>
    <w:bookmarkStart w:id="219" w:name="Xddf03fb0dd0c300b619c3a9029553c55d1c04e8"/>
    <w:p>
      <w:pPr>
        <w:pStyle w:val="Heading3"/>
      </w:pPr>
      <w:r>
        <w:t xml:space="preserve">5.4.2 Frequency of processing audit log</w:t>
      </w:r>
    </w:p>
    <w:bookmarkEnd w:id="219"/>
    <w:bookmarkStart w:id="220"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52"/>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53"/>
        </w:numPr>
        <w:pStyle w:val="Compact"/>
      </w:pPr>
      <w:r>
        <w:t xml:space="preserve">the destruction of the CA Private Key; or</w:t>
      </w:r>
    </w:p>
    <w:p>
      <w:pPr>
        <w:numPr>
          <w:ilvl w:val="1"/>
          <w:numId w:val="1053"/>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52"/>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52"/>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20"/>
    <w:bookmarkStart w:id="221" w:name="X94f212ddc14a93fce9ddbde1c947ee98642cfd6"/>
    <w:p>
      <w:pPr>
        <w:pStyle w:val="Heading3"/>
      </w:pPr>
      <w:r>
        <w:t xml:space="preserve">5.4.4 Protection of audit log</w:t>
      </w:r>
    </w:p>
    <w:bookmarkEnd w:id="221"/>
    <w:bookmarkStart w:id="222" w:name="X84869d9a8072630992dceb41fdfa01401ee4bdc"/>
    <w:p>
      <w:pPr>
        <w:pStyle w:val="Heading3"/>
      </w:pPr>
      <w:r>
        <w:t xml:space="preserve">5.4.5 Audit log backup procedures</w:t>
      </w:r>
    </w:p>
    <w:bookmarkEnd w:id="222"/>
    <w:bookmarkStart w:id="223" w:name="X2ac9315baee4b8d3b2363c8d3b44d7be8853655"/>
    <w:p>
      <w:pPr>
        <w:pStyle w:val="Heading3"/>
      </w:pPr>
      <w:r>
        <w:t xml:space="preserve">5.4.6 Audit collection System (internal vs. external)</w:t>
      </w:r>
    </w:p>
    <w:bookmarkEnd w:id="223"/>
    <w:bookmarkStart w:id="224" w:name="Xf80e13390e35a279fdc01795219604decfe6bf0"/>
    <w:p>
      <w:pPr>
        <w:pStyle w:val="Heading3"/>
      </w:pPr>
      <w:r>
        <w:t xml:space="preserve">5.4.7 Notification to event-causing subject</w:t>
      </w:r>
    </w:p>
    <w:bookmarkEnd w:id="224"/>
    <w:bookmarkStart w:id="225"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54"/>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54"/>
        </w:numPr>
        <w:pStyle w:val="Compact"/>
      </w:pPr>
      <w:r>
        <w:t xml:space="preserve">Assesses the likelihood and potential damage of these threats, taking into consideration the sensitivity of the Certificate Data and Certificate Management Processes; and</w:t>
      </w:r>
    </w:p>
    <w:p>
      <w:pPr>
        <w:numPr>
          <w:ilvl w:val="0"/>
          <w:numId w:val="1054"/>
        </w:numPr>
        <w:pStyle w:val="Compact"/>
      </w:pPr>
      <w:r>
        <w:t xml:space="preserve">Assesses the sufficiency of the policies, procedures, information systems, technology, and other arrangements that the CA has in place to counter such threats.</w:t>
      </w:r>
    </w:p>
    <w:bookmarkEnd w:id="225"/>
    <w:bookmarkEnd w:id="226"/>
    <w:bookmarkStart w:id="234" w:name="Xff6085ba3c36ae2d4809cc2d69c1c0eccaa7945"/>
    <w:p>
      <w:pPr>
        <w:pStyle w:val="Heading2"/>
      </w:pPr>
      <w:r>
        <w:t xml:space="preserve">5.5 Records archival</w:t>
      </w:r>
    </w:p>
    <w:bookmarkStart w:id="227"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7"/>
    <w:bookmarkStart w:id="228"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8"/>
    <w:bookmarkStart w:id="229" w:name="Xa78e96d5834aec9a40b5d7a8284d1222673b7ed"/>
    <w:p>
      <w:pPr>
        <w:pStyle w:val="Heading3"/>
      </w:pPr>
      <w:r>
        <w:t xml:space="preserve">5.5.3 Protection of archive</w:t>
      </w:r>
    </w:p>
    <w:bookmarkEnd w:id="229"/>
    <w:bookmarkStart w:id="230" w:name="X329c5c23c2c5fe8622e62edba3aa48e5da4ebfd"/>
    <w:p>
      <w:pPr>
        <w:pStyle w:val="Heading3"/>
      </w:pPr>
      <w:r>
        <w:t xml:space="preserve">5.5.4 Archive backup procedures</w:t>
      </w:r>
    </w:p>
    <w:bookmarkEnd w:id="230"/>
    <w:bookmarkStart w:id="231" w:name="X78dd9fc21b38310f8673ff7f760b079fb09e07c"/>
    <w:p>
      <w:pPr>
        <w:pStyle w:val="Heading3"/>
      </w:pPr>
      <w:r>
        <w:t xml:space="preserve">5.5.5 Requirements for time-stamping of records</w:t>
      </w:r>
    </w:p>
    <w:bookmarkEnd w:id="231"/>
    <w:bookmarkStart w:id="232" w:name="X9a4b53079fec27f0b2ebff4325ec8ef9743f7a1"/>
    <w:p>
      <w:pPr>
        <w:pStyle w:val="Heading3"/>
      </w:pPr>
      <w:r>
        <w:t xml:space="preserve">5.5.6 Archive collection system (internal or external)</w:t>
      </w:r>
    </w:p>
    <w:bookmarkEnd w:id="232"/>
    <w:bookmarkStart w:id="233" w:name="X7b3e42592a883de73ff2e6afe51eef6f6bad1a1"/>
    <w:p>
      <w:pPr>
        <w:pStyle w:val="Heading3"/>
      </w:pPr>
      <w:r>
        <w:t xml:space="preserve">5.5.7 Procedures to obtain and verify archive information</w:t>
      </w:r>
    </w:p>
    <w:bookmarkEnd w:id="233"/>
    <w:bookmarkEnd w:id="234"/>
    <w:bookmarkStart w:id="235" w:name="Xf5c0c65dec9be3a31cf6df678ff441281445d45"/>
    <w:p>
      <w:pPr>
        <w:pStyle w:val="Heading2"/>
      </w:pPr>
      <w:r>
        <w:t xml:space="preserve">5.6 Key changeover</w:t>
      </w:r>
    </w:p>
    <w:bookmarkEnd w:id="235"/>
    <w:bookmarkStart w:id="240" w:name="X1b38fe0728f1fdaa67d821099eee1943286367d"/>
    <w:p>
      <w:pPr>
        <w:pStyle w:val="Heading2"/>
      </w:pPr>
      <w:r>
        <w:t xml:space="preserve">5.7 Compromise and disaster recovery</w:t>
      </w:r>
    </w:p>
    <w:bookmarkStart w:id="236"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55"/>
        </w:numPr>
        <w:pStyle w:val="Compact"/>
      </w:pPr>
      <w:r>
        <w:t xml:space="preserve">The conditions for activating the plan,</w:t>
      </w:r>
    </w:p>
    <w:p>
      <w:pPr>
        <w:numPr>
          <w:ilvl w:val="0"/>
          <w:numId w:val="1055"/>
        </w:numPr>
        <w:pStyle w:val="Compact"/>
      </w:pPr>
      <w:r>
        <w:t xml:space="preserve">Emergency procedures,</w:t>
      </w:r>
    </w:p>
    <w:p>
      <w:pPr>
        <w:numPr>
          <w:ilvl w:val="0"/>
          <w:numId w:val="1055"/>
        </w:numPr>
        <w:pStyle w:val="Compact"/>
      </w:pPr>
      <w:r>
        <w:t xml:space="preserve">Fallback procedures,</w:t>
      </w:r>
    </w:p>
    <w:p>
      <w:pPr>
        <w:numPr>
          <w:ilvl w:val="0"/>
          <w:numId w:val="1055"/>
        </w:numPr>
        <w:pStyle w:val="Compact"/>
      </w:pPr>
      <w:r>
        <w:t xml:space="preserve">Resumption procedures,</w:t>
      </w:r>
    </w:p>
    <w:p>
      <w:pPr>
        <w:numPr>
          <w:ilvl w:val="0"/>
          <w:numId w:val="1055"/>
        </w:numPr>
        <w:pStyle w:val="Compact"/>
      </w:pPr>
      <w:r>
        <w:t xml:space="preserve">A maintenance schedule for the plan;</w:t>
      </w:r>
    </w:p>
    <w:p>
      <w:pPr>
        <w:numPr>
          <w:ilvl w:val="0"/>
          <w:numId w:val="1055"/>
        </w:numPr>
        <w:pStyle w:val="Compact"/>
      </w:pPr>
      <w:r>
        <w:t xml:space="preserve">Awareness and education requirements;</w:t>
      </w:r>
    </w:p>
    <w:p>
      <w:pPr>
        <w:numPr>
          <w:ilvl w:val="0"/>
          <w:numId w:val="1055"/>
        </w:numPr>
        <w:pStyle w:val="Compact"/>
      </w:pPr>
      <w:r>
        <w:t xml:space="preserve">The responsibilities of the individuals;</w:t>
      </w:r>
    </w:p>
    <w:p>
      <w:pPr>
        <w:numPr>
          <w:ilvl w:val="0"/>
          <w:numId w:val="1055"/>
        </w:numPr>
        <w:pStyle w:val="Compact"/>
      </w:pPr>
      <w:r>
        <w:t xml:space="preserve">Recovery time objective (RTO);</w:t>
      </w:r>
    </w:p>
    <w:p>
      <w:pPr>
        <w:numPr>
          <w:ilvl w:val="0"/>
          <w:numId w:val="1055"/>
        </w:numPr>
        <w:pStyle w:val="Compact"/>
      </w:pPr>
      <w:r>
        <w:t xml:space="preserve">Regular testing of contingency plans.</w:t>
      </w:r>
    </w:p>
    <w:p>
      <w:pPr>
        <w:numPr>
          <w:ilvl w:val="0"/>
          <w:numId w:val="1055"/>
        </w:numPr>
        <w:pStyle w:val="Compact"/>
      </w:pPr>
      <w:r>
        <w:t xml:space="preserve">The CA’s plan to maintain or restore the CA’s business operations in a timely manner following interruption to or failure of critical business processes</w:t>
      </w:r>
    </w:p>
    <w:p>
      <w:pPr>
        <w:numPr>
          <w:ilvl w:val="0"/>
          <w:numId w:val="1055"/>
        </w:numPr>
        <w:pStyle w:val="Compact"/>
      </w:pPr>
      <w:r>
        <w:t xml:space="preserve">A requirement to store critical cryptographic materials (i.e., secure cryptographic device and activation materials) at an alternate location;</w:t>
      </w:r>
    </w:p>
    <w:p>
      <w:pPr>
        <w:numPr>
          <w:ilvl w:val="0"/>
          <w:numId w:val="1055"/>
        </w:numPr>
        <w:pStyle w:val="Compact"/>
      </w:pPr>
      <w:r>
        <w:t xml:space="preserve">What constitutes an acceptable system outage and recovery time</w:t>
      </w:r>
    </w:p>
    <w:p>
      <w:pPr>
        <w:numPr>
          <w:ilvl w:val="0"/>
          <w:numId w:val="1055"/>
        </w:numPr>
        <w:pStyle w:val="Compact"/>
      </w:pPr>
      <w:r>
        <w:t xml:space="preserve">How frequently backup copies of essential business information and software are taken;</w:t>
      </w:r>
    </w:p>
    <w:p>
      <w:pPr>
        <w:numPr>
          <w:ilvl w:val="0"/>
          <w:numId w:val="1055"/>
        </w:numPr>
        <w:pStyle w:val="Compact"/>
      </w:pPr>
      <w:r>
        <w:t xml:space="preserve">The distance of recovery facilities to the CA’s main site; and</w:t>
      </w:r>
    </w:p>
    <w:p>
      <w:pPr>
        <w:numPr>
          <w:ilvl w:val="0"/>
          <w:numId w:val="1055"/>
        </w:numPr>
        <w:pStyle w:val="Compact"/>
      </w:pPr>
      <w:r>
        <w:t xml:space="preserve">Procedures for securing its facility to the extent possible during the period of time following a disaster and prior to restoring a secure environment either at the original or a remote site.</w:t>
      </w:r>
    </w:p>
    <w:bookmarkEnd w:id="236"/>
    <w:bookmarkStart w:id="237" w:name="X5fb307205af3758c8d5ee1ba1f8f30c9831ffb8"/>
    <w:p>
      <w:pPr>
        <w:pStyle w:val="Heading3"/>
      </w:pPr>
      <w:r>
        <w:t xml:space="preserve">5.7.2 Recovery Procedures if Computing resources, software, and/or data are corrupted</w:t>
      </w:r>
    </w:p>
    <w:bookmarkEnd w:id="237"/>
    <w:bookmarkStart w:id="238" w:name="X0bde16ef449c4493f99c274e5cd3208e412ffee"/>
    <w:p>
      <w:pPr>
        <w:pStyle w:val="Heading3"/>
      </w:pPr>
      <w:r>
        <w:t xml:space="preserve">5.7.3 Recovery Procedures after Key Compromise</w:t>
      </w:r>
    </w:p>
    <w:bookmarkEnd w:id="238"/>
    <w:bookmarkStart w:id="239" w:name="X8fcc89b3c07a6ada7111bbb4b39ac17dacc9ffb"/>
    <w:p>
      <w:pPr>
        <w:pStyle w:val="Heading3"/>
      </w:pPr>
      <w:r>
        <w:t xml:space="preserve">5.7.4 Business continuity capabilities after a disaster</w:t>
      </w:r>
    </w:p>
    <w:bookmarkEnd w:id="239"/>
    <w:bookmarkEnd w:id="240"/>
    <w:bookmarkStart w:id="241" w:name="X5426df09f772338eb6fa8dbe321896ec93cde3b"/>
    <w:p>
      <w:pPr>
        <w:pStyle w:val="Heading2"/>
      </w:pPr>
      <w:r>
        <w:t xml:space="preserve">5.8 CA or RA termination</w:t>
      </w:r>
    </w:p>
    <w:bookmarkEnd w:id="241"/>
    <w:bookmarkEnd w:id="242"/>
    <w:bookmarkStart w:id="282" w:name="X0f4a312b6ea95623dbd1449e5842e1ce2dfb0c3"/>
    <w:p>
      <w:pPr>
        <w:pStyle w:val="Heading1"/>
      </w:pPr>
      <w:r>
        <w:t xml:space="preserve">6. TECHNICAL SECURITY CONTROLS</w:t>
      </w:r>
    </w:p>
    <w:bookmarkStart w:id="253" w:name="Xd8a643226c33dc90cd48b3203e3aadd8ac36c37"/>
    <w:p>
      <w:pPr>
        <w:pStyle w:val="Heading2"/>
      </w:pPr>
      <w:r>
        <w:t xml:space="preserve">6.1 Key pair generation and installation</w:t>
      </w:r>
    </w:p>
    <w:bookmarkStart w:id="246" w:name="X12f3290cdba20f36347c5329805670700a16637"/>
    <w:p>
      <w:pPr>
        <w:pStyle w:val="Heading3"/>
      </w:pPr>
      <w:r>
        <w:t xml:space="preserve">6.1.1 Key pair generation</w:t>
      </w:r>
    </w:p>
    <w:bookmarkStart w:id="243"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56"/>
        </w:numPr>
        <w:pStyle w:val="Compact"/>
      </w:pPr>
      <w:r>
        <w:t xml:space="preserve">used as a CA Key Pair for a Root Certificate or</w:t>
      </w:r>
    </w:p>
    <w:p>
      <w:pPr>
        <w:numPr>
          <w:ilvl w:val="0"/>
          <w:numId w:val="1056"/>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7"/>
        </w:numPr>
        <w:pStyle w:val="Compact"/>
      </w:pPr>
      <w:r>
        <w:t xml:space="preserve">prepare and follow a Key Generation Script,</w:t>
      </w:r>
    </w:p>
    <w:p>
      <w:pPr>
        <w:numPr>
          <w:ilvl w:val="0"/>
          <w:numId w:val="1057"/>
        </w:numPr>
        <w:pStyle w:val="Compact"/>
      </w:pPr>
      <w:r>
        <w:t xml:space="preserve">have a Qualified Auditor witness the CA Key Pair generation process or record a video of the entire CA Key Pair generation process, and</w:t>
      </w:r>
    </w:p>
    <w:p>
      <w:pPr>
        <w:numPr>
          <w:ilvl w:val="0"/>
          <w:numId w:val="1057"/>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8"/>
        </w:numPr>
        <w:pStyle w:val="Compact"/>
      </w:pPr>
      <w:r>
        <w:t xml:space="preserve">prepare and follow a Key Generation Script and</w:t>
      </w:r>
    </w:p>
    <w:p>
      <w:pPr>
        <w:numPr>
          <w:ilvl w:val="0"/>
          <w:numId w:val="1058"/>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9"/>
        </w:numPr>
        <w:pStyle w:val="Compact"/>
      </w:pPr>
      <w:r>
        <w:t xml:space="preserve">generate the CA Key Pair in a physically secured environment as described in the CA’s Certificate Policy and/or Certification Practice Statement;</w:t>
      </w:r>
    </w:p>
    <w:p>
      <w:pPr>
        <w:numPr>
          <w:ilvl w:val="0"/>
          <w:numId w:val="1059"/>
        </w:numPr>
        <w:pStyle w:val="Compact"/>
      </w:pPr>
      <w:r>
        <w:t xml:space="preserve">generate the CA Key Pair using personnel in Trusted Roles under the principles of multiple person control and split knowledge;</w:t>
      </w:r>
    </w:p>
    <w:p>
      <w:pPr>
        <w:numPr>
          <w:ilvl w:val="0"/>
          <w:numId w:val="1059"/>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9"/>
        </w:numPr>
        <w:pStyle w:val="Compact"/>
      </w:pPr>
      <w:r>
        <w:t xml:space="preserve">log its CA Key Pair generation activities; and</w:t>
      </w:r>
    </w:p>
    <w:p>
      <w:pPr>
        <w:numPr>
          <w:ilvl w:val="0"/>
          <w:numId w:val="1059"/>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43"/>
    <w:bookmarkStart w:id="244" w:name="Xbda1ba31de541463be6497c054f7654505217bc"/>
    <w:p>
      <w:pPr>
        <w:pStyle w:val="Heading4"/>
      </w:pPr>
      <w:r>
        <w:t xml:space="preserve">6.1.1.2 RA Key Pair Generation</w:t>
      </w:r>
    </w:p>
    <w:bookmarkEnd w:id="244"/>
    <w:bookmarkStart w:id="245"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60"/>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60"/>
        </w:numPr>
        <w:pStyle w:val="Compact"/>
      </w:pPr>
      <w:r>
        <w:t xml:space="preserve">There is clear evidence that the specific method used to generate the Private Key was flawed;</w:t>
      </w:r>
    </w:p>
    <w:p>
      <w:pPr>
        <w:numPr>
          <w:ilvl w:val="0"/>
          <w:numId w:val="1060"/>
        </w:numPr>
        <w:pStyle w:val="Compact"/>
      </w:pPr>
      <w:r>
        <w:t xml:space="preserve">The CA is aware of a demonstrated or proven method that exposes the Applicant’s Private Key to compromise;</w:t>
      </w:r>
    </w:p>
    <w:p>
      <w:pPr>
        <w:numPr>
          <w:ilvl w:val="0"/>
          <w:numId w:val="1060"/>
        </w:numPr>
        <w:pStyle w:val="Compact"/>
      </w:pPr>
      <w:r>
        <w:t xml:space="preserve">The CA has previously been notified that the Applicant’s Private Key has suffered a Key Compromise using the CA’s procedure for revocation request as described in</w:t>
      </w:r>
      <w:r>
        <w:t xml:space="preserve"> </w:t>
      </w:r>
      <w:hyperlink w:anchor="X184c57b3dc212303fb6214ea6b4ce57cd8eca98">
        <w:r>
          <w:rPr>
            <w:rStyle w:val="Hyperlink"/>
          </w:rPr>
          <w:t xml:space="preserve">Section 4.9.3</w:t>
        </w:r>
      </w:hyperlink>
      <w:r>
        <w:t xml:space="preserve"> </w:t>
      </w:r>
      <w:r>
        <w:t xml:space="preserve">and</w:t>
      </w:r>
      <w:r>
        <w:t xml:space="preserve"> </w:t>
      </w:r>
      <w:hyperlink w:anchor="X083c1139a36580c2dff50346d11cd94fc8e4385">
        <w:r>
          <w:rPr>
            <w:rStyle w:val="Hyperlink"/>
          </w:rPr>
          <w:t xml:space="preserve">Section 4.9.12</w:t>
        </w:r>
      </w:hyperlink>
      <w:r>
        <w:t xml:space="preserve">;</w:t>
      </w:r>
    </w:p>
    <w:p>
      <w:pPr>
        <w:numPr>
          <w:ilvl w:val="0"/>
          <w:numId w:val="1060"/>
        </w:numPr>
        <w:pStyle w:val="Compact"/>
      </w:pPr>
      <w:r>
        <w:t xml:space="preserve">The Public Key corresponds to an industry-demonstrated weak Private Key. For requests submitted on or after November 15, 2024, at least the following precautions SHALL be implemented:</w:t>
      </w:r>
    </w:p>
    <w:p>
      <w:pPr>
        <w:numPr>
          <w:ilvl w:val="1"/>
          <w:numId w:val="1061"/>
        </w:numPr>
        <w:pStyle w:val="Compact"/>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w:t>
      </w:r>
      <w:r>
        <w:t xml:space="preserve"> </w:t>
      </w:r>
      <w:hyperlink w:anchor="X0c3917f405f720f56b6c3f29687ef8fb06831c1">
        <w:r>
          <w:rPr>
            <w:rStyle w:val="Hyperlink"/>
          </w:rPr>
          <w:t xml:space="preserve">Section 6.1.5</w:t>
        </w:r>
      </w:hyperlink>
      <w:r>
        <w:t xml:space="preserve">, with the exception of RSA key sizes greater than 8192 bits, the CA SHALL reject Debian weak keys.</w:t>
      </w:r>
    </w:p>
    <w:p>
      <w:pPr>
        <w:numPr>
          <w:ilvl w:val="1"/>
          <w:numId w:val="1061"/>
        </w:numPr>
        <w:pStyle w:val="Compact"/>
      </w:pPr>
      <w:r>
        <w:t xml:space="preserve">In the case of ROCA vulnerability, the CA SHALL reject keys identified by the tools available at https://github.com/crocs-muni/roca or equivalent.</w:t>
      </w:r>
    </w:p>
    <w:p>
      <w:pPr>
        <w:numPr>
          <w:ilvl w:val="1"/>
          <w:numId w:val="1061"/>
        </w:numPr>
        <w:pStyle w:val="Compact"/>
      </w:pPr>
      <w:r>
        <w:t xml:space="preserve">In the case of Close Primes vulnerability (https://fermatattack.secvuln.info/), the CA SHALL reject weak keys which can be factored within 100 rounds using Fermat’s factorization method.</w:t>
      </w:r>
    </w:p>
    <w:p>
      <w:pPr>
        <w:numPr>
          <w:ilvl w:val="0"/>
          <w:numId w:val="1000"/>
        </w:numPr>
        <w:pStyle w:val="Compact"/>
      </w:pPr>
      <w:r>
        <w:t xml:space="preserve">Suggested tools for checking for weak keys can be found here: https://cabforum.org/resources/tools/</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5"/>
    <w:bookmarkEnd w:id="246"/>
    <w:bookmarkStart w:id="247"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7"/>
    <w:bookmarkStart w:id="248" w:name="X1ef682463e5aa03f416600ae8c8baeec4477da6"/>
    <w:p>
      <w:pPr>
        <w:pStyle w:val="Heading3"/>
      </w:pPr>
      <w:r>
        <w:t xml:space="preserve">6.1.3 Public key delivery to certificate issuer</w:t>
      </w:r>
    </w:p>
    <w:bookmarkEnd w:id="248"/>
    <w:bookmarkStart w:id="249" w:name="X6498bbd610c6366a78bf186b13051bb09665541"/>
    <w:p>
      <w:pPr>
        <w:pStyle w:val="Heading3"/>
      </w:pPr>
      <w:r>
        <w:t xml:space="preserve">6.1.4 CA public key delivery to relying parties</w:t>
      </w:r>
    </w:p>
    <w:bookmarkEnd w:id="249"/>
    <w:bookmarkStart w:id="250" w:name="X0c3917f405f720f56b6c3f29687ef8fb06831c1"/>
    <w:p>
      <w:pPr>
        <w:pStyle w:val="Heading3"/>
      </w:pPr>
      <w:r>
        <w:t xml:space="preserve">6.1.5 Key sizes</w:t>
      </w:r>
    </w:p>
    <w:p>
      <w:pPr>
        <w:pStyle w:val="FirstParagraph"/>
      </w:pPr>
      <w:r>
        <w:t xml:space="preserve">For RSA key pairs the CA SHALL:</w:t>
      </w:r>
    </w:p>
    <w:p>
      <w:pPr>
        <w:numPr>
          <w:ilvl w:val="0"/>
          <w:numId w:val="1062"/>
        </w:numPr>
        <w:pStyle w:val="Compact"/>
      </w:pPr>
      <w:r>
        <w:t xml:space="preserve">Ensure that the modulus size, when encoded, is at least 2048 bits, and;</w:t>
      </w:r>
    </w:p>
    <w:p>
      <w:pPr>
        <w:numPr>
          <w:ilvl w:val="0"/>
          <w:numId w:val="1062"/>
        </w:numPr>
        <w:pStyle w:val="Compact"/>
      </w:pPr>
      <w:r>
        <w:t xml:space="preserve">Ensure that the modulus size, in bits, is evenly divisible by 8.</w:t>
      </w:r>
    </w:p>
    <w:p>
      <w:pPr>
        <w:pStyle w:val="FirstParagraph"/>
      </w:pPr>
      <w:r>
        <w:t xml:space="preserve">For ECDSA key pairs, the CA SHALL:</w:t>
      </w:r>
    </w:p>
    <w:p>
      <w:pPr>
        <w:numPr>
          <w:ilvl w:val="0"/>
          <w:numId w:val="1063"/>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50"/>
    <w:bookmarkStart w:id="251"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51"/>
    <w:bookmarkStart w:id="252"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64"/>
        </w:numPr>
        <w:pStyle w:val="Compact"/>
      </w:pPr>
      <w:r>
        <w:t xml:space="preserve">Self-signed Certificates to represent the Root CA itself;</w:t>
      </w:r>
    </w:p>
    <w:p>
      <w:pPr>
        <w:numPr>
          <w:ilvl w:val="0"/>
          <w:numId w:val="1064"/>
        </w:numPr>
        <w:pStyle w:val="Compact"/>
      </w:pPr>
      <w:r>
        <w:t xml:space="preserve">Certificates for Subordinate CAs and Cross-Certified Subordinate CA Certificates;</w:t>
      </w:r>
    </w:p>
    <w:p>
      <w:pPr>
        <w:numPr>
          <w:ilvl w:val="0"/>
          <w:numId w:val="1064"/>
        </w:numPr>
        <w:pStyle w:val="Compact"/>
      </w:pPr>
      <w:r>
        <w:t xml:space="preserve">Certificates for infrastructure purposes (administrative role certificates, internal CA operational device certificates); and</w:t>
      </w:r>
    </w:p>
    <w:p>
      <w:pPr>
        <w:numPr>
          <w:ilvl w:val="0"/>
          <w:numId w:val="1064"/>
        </w:numPr>
        <w:pStyle w:val="Compact"/>
      </w:pPr>
      <w:r>
        <w:t xml:space="preserve">Certificates for OCSP Response verification.</w:t>
      </w:r>
    </w:p>
    <w:bookmarkEnd w:id="252"/>
    <w:bookmarkEnd w:id="253"/>
    <w:bookmarkStart w:id="265"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54" w:name="X68a39abc270425c04f97d6531374600eb7c1d74"/>
    <w:p>
      <w:pPr>
        <w:pStyle w:val="Heading3"/>
      </w:pPr>
      <w:r>
        <w:t xml:space="preserve">6.2.1 Cryptographic module standards and controls</w:t>
      </w:r>
    </w:p>
    <w:bookmarkEnd w:id="254"/>
    <w:bookmarkStart w:id="255" w:name="Xb4a62a4346c24360b646c84e14d2f564e6a3c41"/>
    <w:p>
      <w:pPr>
        <w:pStyle w:val="Heading3"/>
      </w:pPr>
      <w:r>
        <w:t xml:space="preserve">6.2.2 Private key (n out of m) multi-person control</w:t>
      </w:r>
    </w:p>
    <w:bookmarkEnd w:id="255"/>
    <w:bookmarkStart w:id="256" w:name="X8bc7eca5ba74a1c2225b38c15b16cc7a70f8f4e"/>
    <w:p>
      <w:pPr>
        <w:pStyle w:val="Heading3"/>
      </w:pPr>
      <w:r>
        <w:t xml:space="preserve">6.2.3 Private key escrow</w:t>
      </w:r>
    </w:p>
    <w:bookmarkEnd w:id="256"/>
    <w:bookmarkStart w:id="257"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7"/>
    <w:bookmarkStart w:id="258"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8"/>
    <w:bookmarkStart w:id="259"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9"/>
    <w:bookmarkStart w:id="260"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60"/>
    <w:bookmarkStart w:id="261" w:name="X7a2c15a36f966a27af9ee62ea636ddb82848d39"/>
    <w:p>
      <w:pPr>
        <w:pStyle w:val="Heading3"/>
      </w:pPr>
      <w:r>
        <w:t xml:space="preserve">6.2.8 Activating Private Keys</w:t>
      </w:r>
    </w:p>
    <w:bookmarkEnd w:id="261"/>
    <w:bookmarkStart w:id="262" w:name="X21a31dbf85c98d8f06c390dccb493323c0770cb"/>
    <w:p>
      <w:pPr>
        <w:pStyle w:val="Heading3"/>
      </w:pPr>
      <w:r>
        <w:t xml:space="preserve">6.2.9 Deactivating Private Keys</w:t>
      </w:r>
    </w:p>
    <w:bookmarkEnd w:id="262"/>
    <w:bookmarkStart w:id="263" w:name="X5630ce5bbd0afadeceae428f00ee31b0b6bf473"/>
    <w:p>
      <w:pPr>
        <w:pStyle w:val="Heading3"/>
      </w:pPr>
      <w:r>
        <w:t xml:space="preserve">6.2.10 Destroying Private Keys</w:t>
      </w:r>
    </w:p>
    <w:bookmarkEnd w:id="263"/>
    <w:bookmarkStart w:id="264" w:name="X19fcf750df4f24cc232ac50465de403dd847232"/>
    <w:p>
      <w:pPr>
        <w:pStyle w:val="Heading3"/>
      </w:pPr>
      <w:r>
        <w:t xml:space="preserve">6.2.11 Cryptographic Module Rating</w:t>
      </w:r>
    </w:p>
    <w:bookmarkEnd w:id="264"/>
    <w:bookmarkEnd w:id="265"/>
    <w:bookmarkStart w:id="268" w:name="X5ab8f3c3a6dce3cec1684e8c8b2bf52a9e387e4"/>
    <w:p>
      <w:pPr>
        <w:pStyle w:val="Heading2"/>
      </w:pPr>
      <w:r>
        <w:t xml:space="preserve">6.3 Other aspects of key pair management</w:t>
      </w:r>
    </w:p>
    <w:bookmarkStart w:id="266" w:name="Xae64db4a412b946f1bc338b553316855d5c1242"/>
    <w:p>
      <w:pPr>
        <w:pStyle w:val="Heading3"/>
      </w:pPr>
      <w:r>
        <w:t xml:space="preserve">6.3.1 Public key archival</w:t>
      </w:r>
    </w:p>
    <w:bookmarkEnd w:id="266"/>
    <w:bookmarkStart w:id="267"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7"/>
    <w:bookmarkEnd w:id="268"/>
    <w:bookmarkStart w:id="272" w:name="X0ac44edc618408470532bf5d65ab83a0bdb97eb"/>
    <w:p>
      <w:pPr>
        <w:pStyle w:val="Heading2"/>
      </w:pPr>
      <w:r>
        <w:t xml:space="preserve">6.4 Activation data</w:t>
      </w:r>
    </w:p>
    <w:bookmarkStart w:id="269" w:name="Xf6904f8e94ded1d13f98f58de9461c7b7b0e1cc"/>
    <w:p>
      <w:pPr>
        <w:pStyle w:val="Heading3"/>
      </w:pPr>
      <w:r>
        <w:t xml:space="preserve">6.4.1 Activation data generation and installation</w:t>
      </w:r>
    </w:p>
    <w:bookmarkEnd w:id="269"/>
    <w:bookmarkStart w:id="270" w:name="X47305ab4bee35c7331e2ab3daabc8470519bb8f"/>
    <w:p>
      <w:pPr>
        <w:pStyle w:val="Heading3"/>
      </w:pPr>
      <w:r>
        <w:t xml:space="preserve">6.4.2 Activation data protection</w:t>
      </w:r>
    </w:p>
    <w:bookmarkEnd w:id="270"/>
    <w:bookmarkStart w:id="271" w:name="Xcd03a8edfb70c8912db98299e520d0a128a209d"/>
    <w:p>
      <w:pPr>
        <w:pStyle w:val="Heading3"/>
      </w:pPr>
      <w:r>
        <w:t xml:space="preserve">6.4.3 Other aspects of activation data</w:t>
      </w:r>
    </w:p>
    <w:bookmarkEnd w:id="271"/>
    <w:bookmarkEnd w:id="272"/>
    <w:bookmarkStart w:id="275" w:name="X694a5bc76ac2e22ee2d9d7f6e288b395840c800"/>
    <w:p>
      <w:pPr>
        <w:pStyle w:val="Heading2"/>
      </w:pPr>
      <w:r>
        <w:t xml:space="preserve">6.5 Computer security controls</w:t>
      </w:r>
    </w:p>
    <w:bookmarkStart w:id="273"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73"/>
    <w:bookmarkStart w:id="274" w:name="X9f9a270aa6b4ee86a15c4fa1b919e594b21d013"/>
    <w:p>
      <w:pPr>
        <w:pStyle w:val="Heading3"/>
      </w:pPr>
      <w:r>
        <w:t xml:space="preserve">6.5.2 Computer security rating</w:t>
      </w:r>
    </w:p>
    <w:bookmarkEnd w:id="274"/>
    <w:bookmarkEnd w:id="275"/>
    <w:bookmarkStart w:id="279" w:name="Xaa585178aff06e1acf1e18a11a784252db1f3ad"/>
    <w:p>
      <w:pPr>
        <w:pStyle w:val="Heading2"/>
      </w:pPr>
      <w:r>
        <w:t xml:space="preserve">6.6 Life cycle technical controls</w:t>
      </w:r>
    </w:p>
    <w:bookmarkStart w:id="276" w:name="Xfd25ddf24ddc4e729bd7b6ba0f19cc22a3f04eb"/>
    <w:p>
      <w:pPr>
        <w:pStyle w:val="Heading3"/>
      </w:pPr>
      <w:r>
        <w:t xml:space="preserve">6.6.1 System development controls</w:t>
      </w:r>
    </w:p>
    <w:p>
      <w:pPr>
        <w:pStyle w:val="FirstParagraph"/>
      </w:pPr>
      <w:r>
        <w:t xml:space="preserve">If a CA uses Linting software developed by third parties, it SHOULD monitor for updated versions of that software and plan for updates no later than three (3) months from the release of the update.</w:t>
      </w:r>
    </w:p>
    <w:p>
      <w:pPr>
        <w:pStyle w:val="BodyText"/>
      </w:pPr>
      <w:r>
        <w:t xml:space="preserve">The CA MAY perform Linting on the corpus of its unexpired, un-revoked Subscriber Certificates whenever it updates the Linting software.</w:t>
      </w:r>
    </w:p>
    <w:bookmarkEnd w:id="276"/>
    <w:bookmarkStart w:id="277" w:name="X040f1b7a0297395b06c1959c026dba453f59683"/>
    <w:p>
      <w:pPr>
        <w:pStyle w:val="Heading3"/>
      </w:pPr>
      <w:r>
        <w:t xml:space="preserve">6.6.2 Security management controls</w:t>
      </w:r>
    </w:p>
    <w:bookmarkEnd w:id="277"/>
    <w:bookmarkStart w:id="278" w:name="Xffe126e154b0fd5bfef0d6a5c840f02ba388c3c"/>
    <w:p>
      <w:pPr>
        <w:pStyle w:val="Heading3"/>
      </w:pPr>
      <w:r>
        <w:t xml:space="preserve">6.6.3 Life cycle security controls</w:t>
      </w:r>
    </w:p>
    <w:bookmarkEnd w:id="278"/>
    <w:bookmarkEnd w:id="279"/>
    <w:bookmarkStart w:id="280" w:name="X5f8ed0a1cbf4e59180219d893d8c669895e1221"/>
    <w:p>
      <w:pPr>
        <w:pStyle w:val="Heading2"/>
      </w:pPr>
      <w:r>
        <w:t xml:space="preserve">6.7 Network security controls</w:t>
      </w:r>
    </w:p>
    <w:bookmarkEnd w:id="280"/>
    <w:bookmarkStart w:id="281" w:name="X2a9600ace6db1c0de419e0f9e7befd9854af4c3"/>
    <w:p>
      <w:pPr>
        <w:pStyle w:val="Heading2"/>
      </w:pPr>
      <w:r>
        <w:t xml:space="preserve">6.8 Time-stamping</w:t>
      </w:r>
    </w:p>
    <w:bookmarkEnd w:id="281"/>
    <w:bookmarkEnd w:id="282"/>
    <w:bookmarkStart w:id="415" w:name="X95198f484670bdff8589f31e1566b08426ae7bd"/>
    <w:p>
      <w:pPr>
        <w:pStyle w:val="Heading1"/>
      </w:pPr>
      <w:r>
        <w:t xml:space="preserve">7. CERTIFICATE, CRL, AND OCSP PROFILES</w:t>
      </w:r>
    </w:p>
    <w:bookmarkStart w:id="407"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83" w:name="Xcc483d361fb691755573f3eb2d84e2d91e6df1d"/>
    <w:p>
      <w:pPr>
        <w:pStyle w:val="Heading3"/>
      </w:pPr>
      <w:r>
        <w:t xml:space="preserve">7.1.1 Version number(s)</w:t>
      </w:r>
    </w:p>
    <w:p>
      <w:pPr>
        <w:pStyle w:val="FirstParagraph"/>
      </w:pPr>
      <w:r>
        <w:t xml:space="preserve">Certificates MUST be of type X.509 v3.</w:t>
      </w:r>
    </w:p>
    <w:bookmarkEnd w:id="283"/>
    <w:bookmarkStart w:id="381"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84">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5">
        <w:r>
          <w:rPr>
            <w:rStyle w:val="Hyperlink"/>
          </w:rPr>
          <w:t xml:space="preserve">RFC 5280, Appendix B</w:t>
        </w:r>
      </w:hyperlink>
      <w:r>
        <w:t xml:space="preserve"> </w:t>
      </w:r>
      <w:r>
        <w:t xml:space="preserve">for further issues to be aware of.</w:t>
      </w:r>
    </w:p>
    <w:p>
      <w:pPr>
        <w:numPr>
          <w:ilvl w:val="0"/>
          <w:numId w:val="1065"/>
        </w:numPr>
        <w:pStyle w:val="Compact"/>
      </w:pPr>
      <w:r>
        <w:t xml:space="preserve">CA Certificates</w:t>
      </w:r>
    </w:p>
    <w:p>
      <w:pPr>
        <w:numPr>
          <w:ilvl w:val="1"/>
          <w:numId w:val="1066"/>
        </w:numPr>
        <w:pStyle w:val="Compact"/>
      </w:pPr>
      <w:hyperlink w:anchor="Xdacc159fcd91102443e9f7b27387435a3784564">
        <w:r>
          <w:rPr>
            <w:rStyle w:val="Hyperlink"/>
          </w:rPr>
          <w:t xml:space="preserve">Section 7.1.2.1 - Root CA Certificate Profile</w:t>
        </w:r>
      </w:hyperlink>
    </w:p>
    <w:p>
      <w:pPr>
        <w:numPr>
          <w:ilvl w:val="1"/>
          <w:numId w:val="1066"/>
        </w:numPr>
        <w:pStyle w:val="Compact"/>
      </w:pPr>
      <w:r>
        <w:t xml:space="preserve">Subordinate CA Certificates</w:t>
      </w:r>
    </w:p>
    <w:p>
      <w:pPr>
        <w:numPr>
          <w:ilvl w:val="2"/>
          <w:numId w:val="1067"/>
        </w:numPr>
        <w:pStyle w:val="Compact"/>
      </w:pPr>
      <w:r>
        <w:t xml:space="preserve">Cross Certificates</w:t>
      </w:r>
    </w:p>
    <w:p>
      <w:pPr>
        <w:numPr>
          <w:ilvl w:val="3"/>
          <w:numId w:val="1068"/>
        </w:numPr>
        <w:pStyle w:val="Compact"/>
      </w:pPr>
      <w:hyperlink w:anchor="Xb746bb0b8a47d793259530ec7ac4ab811a8eaa8">
        <w:r>
          <w:rPr>
            <w:rStyle w:val="Hyperlink"/>
          </w:rPr>
          <w:t xml:space="preserve">Section 7.1.2.2 - Cross-Certified Subordinate CA Certificate Profile</w:t>
        </w:r>
      </w:hyperlink>
    </w:p>
    <w:p>
      <w:pPr>
        <w:numPr>
          <w:ilvl w:val="2"/>
          <w:numId w:val="1067"/>
        </w:numPr>
        <w:pStyle w:val="Compact"/>
      </w:pPr>
      <w:r>
        <w:t xml:space="preserve">Technically Constrained CA Certificates</w:t>
      </w:r>
    </w:p>
    <w:p>
      <w:pPr>
        <w:numPr>
          <w:ilvl w:val="3"/>
          <w:numId w:val="1069"/>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9"/>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9"/>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7"/>
        </w:numPr>
        <w:pStyle w:val="Compact"/>
      </w:pPr>
      <w:hyperlink w:anchor="X99197482bfd77aca3a2b561b19fa1ecfd02e70d">
        <w:r>
          <w:rPr>
            <w:rStyle w:val="Hyperlink"/>
          </w:rPr>
          <w:t xml:space="preserve">Section 7.1.2.6 - TLS Subordinate CA Certificate Profile</w:t>
        </w:r>
      </w:hyperlink>
    </w:p>
    <w:p>
      <w:pPr>
        <w:numPr>
          <w:ilvl w:val="0"/>
          <w:numId w:val="1065"/>
        </w:numPr>
        <w:pStyle w:val="Compact"/>
      </w:pPr>
      <w:hyperlink w:anchor="Xcda3b49a670e03c0ddaee43338cd2bee31b9631">
        <w:r>
          <w:rPr>
            <w:rStyle w:val="Hyperlink"/>
          </w:rPr>
          <w:t xml:space="preserve">Section 7.1.2.7 - Subscriber (End-Entity) Certificate Profile</w:t>
        </w:r>
      </w:hyperlink>
    </w:p>
    <w:p>
      <w:pPr>
        <w:numPr>
          <w:ilvl w:val="0"/>
          <w:numId w:val="1065"/>
        </w:numPr>
        <w:pStyle w:val="Compact"/>
      </w:pPr>
      <w:hyperlink w:anchor="X9abe9cbfc0842599f0ee8c86e16112f68ee99ce">
        <w:r>
          <w:rPr>
            <w:rStyle w:val="Hyperlink"/>
          </w:rPr>
          <w:t xml:space="preserve">Section 7.1.2.8 - OCSP Responder Certificate Profile</w:t>
        </w:r>
      </w:hyperlink>
    </w:p>
    <w:p>
      <w:pPr>
        <w:numPr>
          <w:ilvl w:val="0"/>
          <w:numId w:val="1065"/>
        </w:numPr>
        <w:pStyle w:val="Compact"/>
      </w:pPr>
      <w:hyperlink w:anchor="Xcb2d3f29b52e459935bf97d91c89d922117914a">
        <w:r>
          <w:rPr>
            <w:rStyle w:val="Hyperlink"/>
          </w:rPr>
          <w:t xml:space="preserve">Section 7.1.2.9 - Precertificate Profile</w:t>
        </w:r>
      </w:hyperlink>
    </w:p>
    <w:bookmarkStart w:id="290"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6"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6"/>
    <w:bookmarkStart w:id="287"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7"/>
    <w:bookmarkStart w:id="288"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8"/>
    <w:bookmarkStart w:id="289"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9"/>
    <w:bookmarkEnd w:id="290"/>
    <w:bookmarkStart w:id="300"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1"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91"/>
    <w:bookmarkStart w:id="292"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92"/>
    <w:bookmarkStart w:id="297"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3"/>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94"/>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6"/>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7"/>
    <w:bookmarkStart w:id="298"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8"/>
    <w:bookmarkStart w:id="299"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70"/>
        </w:numPr>
        <w:pStyle w:val="Compact"/>
      </w:pPr>
      <w:r>
        <w:t xml:space="preserve">MUST apply in the context of the public Internet (e.g. MUST NOT be for a service that is only valid in a privately managed network), unless:</w:t>
      </w:r>
    </w:p>
    <w:p>
      <w:pPr>
        <w:numPr>
          <w:ilvl w:val="1"/>
          <w:numId w:val="1071"/>
        </w:numPr>
        <w:pStyle w:val="Compact"/>
      </w:pPr>
      <w:r>
        <w:t xml:space="preserve">the key usage purpose falls within an OID arc for which the Applicant demonstrates ownership; or,</w:t>
      </w:r>
    </w:p>
    <w:p>
      <w:pPr>
        <w:numPr>
          <w:ilvl w:val="1"/>
          <w:numId w:val="1071"/>
        </w:numPr>
        <w:pStyle w:val="Compact"/>
      </w:pPr>
      <w:r>
        <w:t xml:space="preserve">the Applicant can otherwise demonstrate the right to assert the key usage purpose in a public context.</w:t>
      </w:r>
    </w:p>
    <w:p>
      <w:pPr>
        <w:numPr>
          <w:ilvl w:val="0"/>
          <w:numId w:val="1070"/>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70"/>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9"/>
    <w:bookmarkEnd w:id="300"/>
    <w:bookmarkStart w:id="306"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3"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1"/>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2"/>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3"/>
    <w:bookmarkStart w:id="304"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4"/>
    <w:bookmarkStart w:id="305"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5"/>
    <w:bookmarkEnd w:id="306"/>
    <w:bookmarkStart w:id="313"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7">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8">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1"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9"/>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0"/>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1"/>
    <w:bookmarkStart w:id="312"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12"/>
    <w:bookmarkEnd w:id="313"/>
    <w:bookmarkStart w:id="318"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6"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4"/>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5"/>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6"/>
    <w:bookmarkStart w:id="317"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2"/>
        </w:numPr>
        <w:pStyle w:val="Compact"/>
      </w:pPr>
      <w:r>
        <w:t xml:space="preserve">MUST apply in the context of the public Internet, unless:</w:t>
      </w:r>
    </w:p>
    <w:p>
      <w:pPr>
        <w:numPr>
          <w:ilvl w:val="1"/>
          <w:numId w:val="1073"/>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3"/>
        </w:numPr>
        <w:pStyle w:val="Compact"/>
      </w:pPr>
      <w:r>
        <w:t xml:space="preserve">the Applicant can otherwise demonstrate the right to assert the data in a public context.</w:t>
      </w:r>
    </w:p>
    <w:p>
      <w:pPr>
        <w:numPr>
          <w:ilvl w:val="0"/>
          <w:numId w:val="1072"/>
        </w:numPr>
        <w:pStyle w:val="Compact"/>
      </w:pPr>
      <w:r>
        <w:t xml:space="preserve">MUST NOT include semantics that will mislead the Relying Party about certificate information verified by the CA.</w:t>
      </w:r>
    </w:p>
    <w:p>
      <w:pPr>
        <w:numPr>
          <w:ilvl w:val="0"/>
          <w:numId w:val="1072"/>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7"/>
    <w:bookmarkEnd w:id="318"/>
    <w:bookmarkStart w:id="322"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1"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9"/>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20"/>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21"/>
    <w:bookmarkEnd w:id="322"/>
    <w:bookmarkStart w:id="337"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3"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23"/>
    <w:bookmarkStart w:id="324"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4"/>
    <w:bookmarkStart w:id="325"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the Subject’s name in parentheses.</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5"/>
    <w:bookmarkStart w:id="326"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 If both are included, the DBA/tradename SHALL appear first, followed by the Subject’s name in parentheses.</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6"/>
    <w:bookmarkStart w:id="327"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7.1.4.2.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7"/>
    <w:bookmarkStart w:id="328"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8"/>
    <w:bookmarkStart w:id="329"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9"/>
    <w:bookmarkStart w:id="330"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30"/>
    <w:bookmarkStart w:id="332"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31"/>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32"/>
    <w:bookmarkStart w:id="333"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33"/>
    <w:bookmarkStart w:id="334"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34"/>
    <w:bookmarkStart w:id="336"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5">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6"/>
    <w:bookmarkEnd w:id="337"/>
    <w:bookmarkStart w:id="348"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8">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9"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9"/>
    <w:bookmarkStart w:id="340"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40"/>
    <w:bookmarkStart w:id="341"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41"/>
    <w:bookmarkStart w:id="342"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42"/>
    <w:bookmarkStart w:id="343"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43"/>
    <w:bookmarkStart w:id="345"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44">
        <w:r>
          <w:rPr>
            <w:rStyle w:val="Hyperlink"/>
          </w:rPr>
          <w:t xml:space="preserve">RFC 6960, Section 4.2.2.2.1</w:t>
        </w:r>
      </w:hyperlink>
      <w:r>
        <w:t xml:space="preserve">.</w:t>
      </w:r>
    </w:p>
    <w:bookmarkEnd w:id="345"/>
    <w:bookmarkStart w:id="346"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6"/>
    <w:bookmarkStart w:id="347"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7"/>
    <w:bookmarkEnd w:id="348"/>
    <w:bookmarkStart w:id="360"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9">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50">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51">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52">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53"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53"/>
    <w:bookmarkStart w:id="354"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51">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54"/>
    <w:bookmarkStart w:id="356"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5">
        <w:r>
          <w:rPr>
            <w:rStyle w:val="Hyperlink"/>
          </w:rPr>
          <w:t xml:space="preserve">RFC 6962, Section 3.1</w:t>
        </w:r>
      </w:hyperlink>
      <w:r>
        <w:t xml:space="preserve">.</w:t>
      </w:r>
    </w:p>
    <w:bookmarkEnd w:id="356"/>
    <w:bookmarkStart w:id="359"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74"/>
        </w:numPr>
        <w:pStyle w:val="Compact"/>
      </w:pPr>
      <w:r>
        <w:t xml:space="preserve">SHOULD be as defined in the profile below, or;</w:t>
      </w:r>
    </w:p>
    <w:p>
      <w:pPr>
        <w:numPr>
          <w:ilvl w:val="0"/>
          <w:numId w:val="1074"/>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7">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8">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9"/>
    <w:bookmarkEnd w:id="360"/>
    <w:bookmarkStart w:id="372"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1"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61"/>
    <w:bookmarkStart w:id="362"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62"/>
    <w:bookmarkStart w:id="363"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63"/>
    <w:bookmarkStart w:id="364"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64"/>
    <w:bookmarkStart w:id="366"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5"/>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6"/>
    <w:bookmarkStart w:id="367"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7"/>
    <w:bookmarkStart w:id="369"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8"/>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9"/>
    <w:bookmarkStart w:id="371"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70">
              <w:r>
                <w:rPr>
                  <w:rStyle w:val="Hyperlink"/>
                </w:rPr>
                <w:t xml:space="preserve">RFC 5280, Section 4.2.1.10</w:t>
              </w:r>
            </w:hyperlink>
            <w:r>
              <w:t xml:space="preserve">. For each host, domain, or Domain portion of a Mailbox (as specified within</w:t>
            </w:r>
            <w:r>
              <w:t xml:space="preserve"> </w:t>
            </w:r>
            <w:hyperlink r:id="rId335">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5"/>
        </w:numPr>
        <w:pStyle w:val="Compact"/>
      </w:pPr>
      <w:r>
        <w:t xml:space="preserve">MUST apply in the context of the public Internet, unless:</w:t>
      </w:r>
    </w:p>
    <w:p>
      <w:pPr>
        <w:numPr>
          <w:ilvl w:val="1"/>
          <w:numId w:val="1076"/>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6"/>
        </w:numPr>
        <w:pStyle w:val="Compact"/>
      </w:pPr>
      <w:r>
        <w:t xml:space="preserve">the Applicant can otherwise demonstrate the right to assert the data in a public context.</w:t>
      </w:r>
    </w:p>
    <w:p>
      <w:pPr>
        <w:numPr>
          <w:ilvl w:val="0"/>
          <w:numId w:val="1075"/>
        </w:numPr>
        <w:pStyle w:val="Compact"/>
      </w:pPr>
      <w:r>
        <w:t xml:space="preserve">MUST NOT include semantics that will mislead the Relying Party about certificate information verified by the CA.</w:t>
      </w:r>
    </w:p>
    <w:p>
      <w:pPr>
        <w:numPr>
          <w:ilvl w:val="0"/>
          <w:numId w:val="1075"/>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71"/>
    <w:bookmarkEnd w:id="372"/>
    <w:bookmarkStart w:id="380"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73"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73"/>
    <w:bookmarkStart w:id="374"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7"/>
        </w:numPr>
        <w:pStyle w:val="Compact"/>
      </w:pPr>
      <w:r>
        <w:t xml:space="preserve">Subordinate CA Certificates; and</w:t>
      </w:r>
    </w:p>
    <w:p>
      <w:pPr>
        <w:numPr>
          <w:ilvl w:val="0"/>
          <w:numId w:val="1077"/>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8"/>
        </w:numPr>
        <w:pStyle w:val="Compact"/>
      </w:pPr>
      <w:r>
        <w:t xml:space="preserve">Root CA Certificates.</w:t>
      </w:r>
    </w:p>
    <w:p>
      <w:pPr>
        <w:pStyle w:val="FirstParagraph"/>
      </w:pPr>
      <w:r>
        <w:t xml:space="preserve">The CRL Distribution Points extension is OPTIONAL in:</w:t>
      </w:r>
    </w:p>
    <w:p>
      <w:pPr>
        <w:numPr>
          <w:ilvl w:val="0"/>
          <w:numId w:val="1079"/>
        </w:numPr>
        <w:pStyle w:val="Compact"/>
      </w:pPr>
      <w:r>
        <w:t xml:space="preserve">Short-lived Subscriber Certificates.</w:t>
      </w:r>
    </w:p>
    <w:p>
      <w:pPr>
        <w:pStyle w:val="FirstParagraph"/>
      </w:pPr>
      <w:r>
        <w:t xml:space="preserve">The CRL Distribution Points extension MUST NOT be present in:</w:t>
      </w:r>
    </w:p>
    <w:p>
      <w:pPr>
        <w:numPr>
          <w:ilvl w:val="0"/>
          <w:numId w:val="1080"/>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74"/>
    <w:bookmarkStart w:id="376"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5">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6"/>
    <w:bookmarkStart w:id="378"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7">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8"/>
    <w:bookmarkStart w:id="379"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81"/>
        </w:numPr>
        <w:pStyle w:val="Compact"/>
      </w:pPr>
      <w:r>
        <w:t xml:space="preserve">MUST apply in the context of the public Internet, unless:</w:t>
      </w:r>
    </w:p>
    <w:p>
      <w:pPr>
        <w:numPr>
          <w:ilvl w:val="1"/>
          <w:numId w:val="1082"/>
        </w:numPr>
        <w:pStyle w:val="Compact"/>
      </w:pPr>
      <w:r>
        <w:t xml:space="preserve">the extension OID falls within an OID arc for which the Applicant demonstrates ownership, or,</w:t>
      </w:r>
    </w:p>
    <w:p>
      <w:pPr>
        <w:numPr>
          <w:ilvl w:val="1"/>
          <w:numId w:val="1082"/>
        </w:numPr>
        <w:pStyle w:val="Compact"/>
      </w:pPr>
      <w:r>
        <w:t xml:space="preserve">the Applicant can otherwise demonstrate the right to assert the data in a public context.</w:t>
      </w:r>
    </w:p>
    <w:p>
      <w:pPr>
        <w:numPr>
          <w:ilvl w:val="0"/>
          <w:numId w:val="1081"/>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81"/>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9"/>
    <w:bookmarkEnd w:id="380"/>
    <w:bookmarkEnd w:id="381"/>
    <w:bookmarkStart w:id="388" w:name="Xe8d74dc6bb127d217fc11248b8c986acc35ebab"/>
    <w:p>
      <w:pPr>
        <w:pStyle w:val="Heading3"/>
      </w:pPr>
      <w:r>
        <w:t xml:space="preserve">7.1.3 Algorithm object identifiers</w:t>
      </w:r>
    </w:p>
    <w:bookmarkStart w:id="384"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82"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82"/>
    <w:bookmarkStart w:id="383"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83"/>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83"/>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83"/>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84"/>
        </w:numPr>
        <w:pStyle w:val="Compact"/>
      </w:pPr>
      <w:r>
        <w:t xml:space="preserve">For P-256 keys,</w:t>
      </w:r>
      <w:r>
        <w:t xml:space="preserve"> </w:t>
      </w:r>
      <w:r>
        <w:rPr>
          <w:rStyle w:val="VerbatimChar"/>
        </w:rPr>
        <w:t xml:space="preserve">301306072a8648ce3d020106082a8648ce3d030107</w:t>
      </w:r>
      <w:r>
        <w:t xml:space="preserve">.</w:t>
      </w:r>
    </w:p>
    <w:p>
      <w:pPr>
        <w:numPr>
          <w:ilvl w:val="0"/>
          <w:numId w:val="1084"/>
        </w:numPr>
        <w:pStyle w:val="Compact"/>
      </w:pPr>
      <w:r>
        <w:t xml:space="preserve">For P-384 keys,</w:t>
      </w:r>
      <w:r>
        <w:t xml:space="preserve"> </w:t>
      </w:r>
      <w:r>
        <w:rPr>
          <w:rStyle w:val="VerbatimChar"/>
        </w:rPr>
        <w:t xml:space="preserve">301006072a8648ce3d020106052b81040022</w:t>
      </w:r>
      <w:r>
        <w:t xml:space="preserve">.</w:t>
      </w:r>
    </w:p>
    <w:p>
      <w:pPr>
        <w:numPr>
          <w:ilvl w:val="0"/>
          <w:numId w:val="1084"/>
        </w:numPr>
        <w:pStyle w:val="Compact"/>
      </w:pPr>
      <w:r>
        <w:t xml:space="preserve">For P-521 keys,</w:t>
      </w:r>
      <w:r>
        <w:t xml:space="preserve"> </w:t>
      </w:r>
      <w:r>
        <w:rPr>
          <w:rStyle w:val="VerbatimChar"/>
        </w:rPr>
        <w:t xml:space="preserve">301006072a8648ce3d020106052b81040023</w:t>
      </w:r>
      <w:r>
        <w:t xml:space="preserve">.</w:t>
      </w:r>
    </w:p>
    <w:bookmarkEnd w:id="383"/>
    <w:bookmarkEnd w:id="384"/>
    <w:bookmarkStart w:id="387"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85"/>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85"/>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5"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86"/>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86"/>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86"/>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86"/>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86"/>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86"/>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7"/>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8"/>
        </w:numPr>
        <w:pStyle w:val="Compact"/>
      </w:pPr>
      <w:r>
        <w:t xml:space="preserve">The new Certificate is a Root CA Certificate or Subordinate CA Certificate that is a Cross-Certificate; and,</w:t>
      </w:r>
    </w:p>
    <w:p>
      <w:pPr>
        <w:numPr>
          <w:ilvl w:val="1"/>
          <w:numId w:val="1088"/>
        </w:numPr>
        <w:pStyle w:val="Compact"/>
      </w:pPr>
      <w:r>
        <w:t xml:space="preserve">There is an existing Certificate, issued by the same issuing CA Certificate, using the following encoding for the signature algorithm; and,</w:t>
      </w:r>
    </w:p>
    <w:p>
      <w:pPr>
        <w:numPr>
          <w:ilvl w:val="1"/>
          <w:numId w:val="1088"/>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8"/>
        </w:numPr>
        <w:pStyle w:val="Compact"/>
      </w:pPr>
      <w:r>
        <w:t xml:space="preserve">The only differences between the new Certificate and existing Certificate are one of the following:</w:t>
      </w:r>
    </w:p>
    <w:p>
      <w:pPr>
        <w:numPr>
          <w:ilvl w:val="2"/>
          <w:numId w:val="1089"/>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9"/>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9"/>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9"/>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7"/>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90"/>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90"/>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7"/>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91"/>
        </w:numPr>
        <w:pStyle w:val="Compact"/>
      </w:pPr>
      <w:r>
        <w:t xml:space="preserve">The CRL is referenced by one or more Root CA or Subordinate CA Certificates; and,</w:t>
      </w:r>
    </w:p>
    <w:p>
      <w:pPr>
        <w:numPr>
          <w:ilvl w:val="1"/>
          <w:numId w:val="1091"/>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92"/>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5"/>
    <w:bookmarkStart w:id="386"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6"/>
    <w:bookmarkEnd w:id="387"/>
    <w:bookmarkEnd w:id="388"/>
    <w:bookmarkStart w:id="400"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91"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9">
        <w:r>
          <w:rPr>
            <w:rStyle w:val="Hyperlink"/>
          </w:rPr>
          <w:t xml:space="preserve">RFC 5280, Section 6</w:t>
        </w:r>
      </w:hyperlink>
      <w:r>
        <w:t xml:space="preserve">):</w:t>
      </w:r>
    </w:p>
    <w:p>
      <w:pPr>
        <w:numPr>
          <w:ilvl w:val="0"/>
          <w:numId w:val="1093"/>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93"/>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90">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94"/>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94"/>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94"/>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95"/>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94"/>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91"/>
    <w:bookmarkStart w:id="397"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2"/>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93">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4"/>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5"/>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6"/>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7"/>
    <w:bookmarkStart w:id="398"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96"/>
        </w:numPr>
        <w:pStyle w:val="Compact"/>
      </w:pPr>
      <w:r>
        <w:t xml:space="preserve">If the value is an IPv4 address, then the value MUST be encoded as an IPv4Address as specified in RFC 3986, Section 3.2.2.</w:t>
      </w:r>
    </w:p>
    <w:p>
      <w:pPr>
        <w:numPr>
          <w:ilvl w:val="0"/>
          <w:numId w:val="1096"/>
        </w:numPr>
        <w:pStyle w:val="Compact"/>
      </w:pPr>
      <w:r>
        <w:t xml:space="preserve">If the value is an IPv6 address, then the value MUST be encoded in the text representation specified in RFC 5952, Section 4.</w:t>
      </w:r>
    </w:p>
    <w:p>
      <w:pPr>
        <w:numPr>
          <w:ilvl w:val="0"/>
          <w:numId w:val="1096"/>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8"/>
    <w:bookmarkStart w:id="399"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7"/>
        </w:numPr>
        <w:pStyle w:val="Compact"/>
      </w:pPr>
      <w:r>
        <w:t xml:space="preserve">Document the attributes within Section 7.1.4 of their CP or CPS, along with the applicable validation practices.</w:t>
      </w:r>
    </w:p>
    <w:p>
      <w:pPr>
        <w:numPr>
          <w:ilvl w:val="0"/>
          <w:numId w:val="1097"/>
        </w:numPr>
        <w:pStyle w:val="Compact"/>
      </w:pPr>
      <w:r>
        <w:t xml:space="preserve">Ensure that the contents contain information that has been verified by the CA, independent of the Applicant.</w:t>
      </w:r>
    </w:p>
    <w:bookmarkEnd w:id="399"/>
    <w:bookmarkEnd w:id="400"/>
    <w:bookmarkStart w:id="401" w:name="Xb679318b5159669ccef024bee2ed8b9b757084d"/>
    <w:p>
      <w:pPr>
        <w:pStyle w:val="Heading3"/>
      </w:pPr>
      <w:r>
        <w:t xml:space="preserve">7.1.5 Name constraints</w:t>
      </w:r>
    </w:p>
    <w:bookmarkEnd w:id="401"/>
    <w:bookmarkStart w:id="403" w:name="Xc8d3ffc41162c976c376ed548cd0fe263da63e7"/>
    <w:p>
      <w:pPr>
        <w:pStyle w:val="Heading3"/>
      </w:pPr>
      <w:r>
        <w:t xml:space="preserve">7.1.6 Certificate policy object identifier</w:t>
      </w:r>
    </w:p>
    <w:bookmarkStart w:id="402"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402"/>
    <w:bookmarkEnd w:id="403"/>
    <w:bookmarkStart w:id="404" w:name="Xed9e7834e6ffbd250e01c735c982e66ea9861ae"/>
    <w:p>
      <w:pPr>
        <w:pStyle w:val="Heading3"/>
      </w:pPr>
      <w:r>
        <w:t xml:space="preserve">7.1.7 Usage of Policy Constraints extension</w:t>
      </w:r>
    </w:p>
    <w:bookmarkEnd w:id="404"/>
    <w:bookmarkStart w:id="405" w:name="Xb75aeb95e41b160b3b406a7bf538931f2032f39"/>
    <w:p>
      <w:pPr>
        <w:pStyle w:val="Heading3"/>
      </w:pPr>
      <w:r>
        <w:t xml:space="preserve">7.1.8 Policy qualifiers syntax and semantics</w:t>
      </w:r>
    </w:p>
    <w:bookmarkEnd w:id="405"/>
    <w:bookmarkStart w:id="406" w:name="X7e1386d320ff9b93177aebb64539fc5dd8f35e6"/>
    <w:p>
      <w:pPr>
        <w:pStyle w:val="Heading3"/>
      </w:pPr>
      <w:r>
        <w:t xml:space="preserve">7.1.9 Processing semantics for the critical Certificate Policies extension</w:t>
      </w:r>
    </w:p>
    <w:bookmarkEnd w:id="406"/>
    <w:bookmarkEnd w:id="407"/>
    <w:bookmarkStart w:id="411"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84">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5">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8" w:name="X2c7758d2e300cbeb8e6063b008586dacac9f358"/>
    <w:p>
      <w:pPr>
        <w:pStyle w:val="Heading3"/>
      </w:pPr>
      <w:r>
        <w:t xml:space="preserve">7.2.1 Version number(s)</w:t>
      </w:r>
    </w:p>
    <w:p>
      <w:pPr>
        <w:pStyle w:val="FirstParagraph"/>
      </w:pPr>
      <w:r>
        <w:t xml:space="preserve">Certificate Revocation Lists MUST be of type X.509 v2.</w:t>
      </w:r>
    </w:p>
    <w:bookmarkEnd w:id="408"/>
    <w:bookmarkStart w:id="410"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9"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8"/>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8"/>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8"/>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9"/>
    <w:bookmarkEnd w:id="410"/>
    <w:bookmarkEnd w:id="411"/>
    <w:bookmarkStart w:id="414"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12" w:name="Xc8a24ea14e8ad5ea4873a37aeff4628ce67cbd7"/>
    <w:p>
      <w:pPr>
        <w:pStyle w:val="Heading3"/>
      </w:pPr>
      <w:r>
        <w:t xml:space="preserve">7.3.1 Version number(s)</w:t>
      </w:r>
    </w:p>
    <w:bookmarkEnd w:id="412"/>
    <w:bookmarkStart w:id="413"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13"/>
    <w:bookmarkEnd w:id="414"/>
    <w:bookmarkEnd w:id="415"/>
    <w:bookmarkStart w:id="423"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9"/>
        </w:numPr>
        <w:pStyle w:val="Compact"/>
      </w:pPr>
      <w:r>
        <w:t xml:space="preserve">Comply with these Requirements;</w:t>
      </w:r>
    </w:p>
    <w:p>
      <w:pPr>
        <w:numPr>
          <w:ilvl w:val="0"/>
          <w:numId w:val="1099"/>
        </w:numPr>
        <w:pStyle w:val="Compact"/>
      </w:pPr>
      <w:r>
        <w:t xml:space="preserve">Comply with the audit requirements set forth in this section; and</w:t>
      </w:r>
    </w:p>
    <w:p>
      <w:pPr>
        <w:numPr>
          <w:ilvl w:val="0"/>
          <w:numId w:val="1099"/>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6"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6"/>
    <w:bookmarkStart w:id="417"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100"/>
        </w:numPr>
        <w:pStyle w:val="Compact"/>
      </w:pPr>
      <w:r>
        <w:t xml:space="preserve">Independence from the subject of the audit;</w:t>
      </w:r>
    </w:p>
    <w:p>
      <w:pPr>
        <w:numPr>
          <w:ilvl w:val="0"/>
          <w:numId w:val="1100"/>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100"/>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100"/>
        </w:numPr>
        <w:pStyle w:val="Compact"/>
      </w:pPr>
      <w:r>
        <w:t xml:space="preserve">(For audits conducted in accordance with any one of the ETSI standards) accredited in accordance with ISO 17065 applying the requirements specified in ETSI EN 319 403;</w:t>
      </w:r>
    </w:p>
    <w:p>
      <w:pPr>
        <w:numPr>
          <w:ilvl w:val="0"/>
          <w:numId w:val="1100"/>
        </w:numPr>
        <w:pStyle w:val="Compact"/>
      </w:pPr>
      <w:r>
        <w:t xml:space="preserve">(For audits conducted in accordance with the WebTrust standard) licensed by WebTrust;</w:t>
      </w:r>
    </w:p>
    <w:p>
      <w:pPr>
        <w:numPr>
          <w:ilvl w:val="0"/>
          <w:numId w:val="1100"/>
        </w:numPr>
        <w:pStyle w:val="Compact"/>
      </w:pPr>
      <w:r>
        <w:t xml:space="preserve">Bound by law, government regulation, or professional code of ethics; and</w:t>
      </w:r>
    </w:p>
    <w:p>
      <w:pPr>
        <w:numPr>
          <w:ilvl w:val="0"/>
          <w:numId w:val="1100"/>
        </w:numPr>
        <w:pStyle w:val="Compact"/>
      </w:pPr>
      <w:r>
        <w:t xml:space="preserve">Except in the case of an Internal Government Auditing Agency, maintains Professional Liability/Errors &amp; Omissions insurance with policy limits of at least one million US dollars in coverage</w:t>
      </w:r>
    </w:p>
    <w:bookmarkEnd w:id="417"/>
    <w:bookmarkStart w:id="418" w:name="Xb2895b2fcf8cd8991a2fa3ac2a5191d6feaaf90"/>
    <w:p>
      <w:pPr>
        <w:pStyle w:val="Heading2"/>
      </w:pPr>
      <w:r>
        <w:t xml:space="preserve">8.3 Assessor’s relationship to assessed entity</w:t>
      </w:r>
    </w:p>
    <w:bookmarkEnd w:id="418"/>
    <w:bookmarkStart w:id="419"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101"/>
        </w:numPr>
        <w:pStyle w:val="Compact"/>
      </w:pPr>
      <w:r>
        <w:t xml:space="preserve">WebTrust:</w:t>
      </w:r>
    </w:p>
    <w:p>
      <w:pPr>
        <w:numPr>
          <w:ilvl w:val="0"/>
          <w:numId w:val="1102"/>
        </w:numPr>
        <w:pStyle w:val="Compact"/>
      </w:pPr>
      <w:r>
        <w:t xml:space="preserve">“</w:t>
      </w:r>
      <w:r>
        <w:t xml:space="preserve">Principles and Criteria for Certification Authorities</w:t>
      </w:r>
      <w:r>
        <w:t xml:space="preserve">”</w:t>
      </w:r>
      <w:r>
        <w:t xml:space="preserve"> </w:t>
      </w:r>
      <w:r>
        <w:t xml:space="preserve">Version 2.2 or newer; and either</w:t>
      </w:r>
    </w:p>
    <w:p>
      <w:pPr>
        <w:numPr>
          <w:ilvl w:val="1"/>
          <w:numId w:val="1103"/>
        </w:numPr>
        <w:pStyle w:val="Compact"/>
      </w:pPr>
      <w:r>
        <w:t xml:space="preserve">“</w:t>
      </w:r>
      <w:r>
        <w:t xml:space="preserve">WebTrust Principles and Criteria for Certification Authorities – SSL Baseline with Network Security</w:t>
      </w:r>
      <w:r>
        <w:t xml:space="preserve">”</w:t>
      </w:r>
      <w:r>
        <w:t xml:space="preserve"> </w:t>
      </w:r>
      <w:r>
        <w:t xml:space="preserve">Version 2.7 or newer; or</w:t>
      </w:r>
    </w:p>
    <w:p>
      <w:pPr>
        <w:numPr>
          <w:ilvl w:val="1"/>
          <w:numId w:val="1103"/>
        </w:numPr>
        <w:pStyle w:val="Compact"/>
      </w:pPr>
      <w:r>
        <w:t xml:space="preserve">“</w:t>
      </w:r>
      <w:r>
        <w:t xml:space="preserve">WebTrust Principles and Criteria for Certification Authorities – SSL Baseline</w:t>
      </w:r>
      <w:r>
        <w:t xml:space="preserve">”</w:t>
      </w:r>
      <w:r>
        <w:t xml:space="preserve"> </w:t>
      </w:r>
      <w:r>
        <w:t xml:space="preserve">Version 2.8 or newer and</w:t>
      </w:r>
      <w:r>
        <w:t xml:space="preserve"> </w:t>
      </w:r>
      <w:r>
        <w:t xml:space="preserve">“</w:t>
      </w:r>
      <w:r>
        <w:t xml:space="preserve">WebTrust Principles and Criteria for Certification Authorities – Network Security</w:t>
      </w:r>
      <w:r>
        <w:t xml:space="preserve">”</w:t>
      </w:r>
      <w:r>
        <w:t xml:space="preserve"> </w:t>
      </w:r>
      <w:r>
        <w:t xml:space="preserve">Version 1.0 or newer</w:t>
      </w:r>
    </w:p>
    <w:p>
      <w:pPr>
        <w:numPr>
          <w:ilvl w:val="0"/>
          <w:numId w:val="1104"/>
        </w:numPr>
        <w:pStyle w:val="Compact"/>
      </w:pPr>
      <w:r>
        <w:t xml:space="preserve">ETSI:</w:t>
      </w:r>
    </w:p>
    <w:p>
      <w:pPr>
        <w:numPr>
          <w:ilvl w:val="0"/>
          <w:numId w:val="1105"/>
        </w:numPr>
        <w:pStyle w:val="Compact"/>
      </w:pPr>
      <w:r>
        <w:t xml:space="preserve">ETSI EN 319 411-1 v1.4.1 or newer, which includes normative references to ETSI EN 319 401 (the latest version of the referenced ETSI documents should be applied); or</w:t>
      </w:r>
    </w:p>
    <w:p>
      <w:pPr>
        <w:numPr>
          <w:ilvl w:val="0"/>
          <w:numId w:val="1106"/>
        </w:numPr>
        <w:pStyle w:val="Compact"/>
      </w:pPr>
      <w:r>
        <w:t xml:space="preserve">Other:</w:t>
      </w:r>
    </w:p>
    <w:p>
      <w:pPr>
        <w:numPr>
          <w:ilvl w:val="0"/>
          <w:numId w:val="1107"/>
        </w:numPr>
        <w:pStyle w:val="Compact"/>
      </w:pPr>
      <w:r>
        <w:t xml:space="preserve">If a Government CA is required by its Certificate Policy to use a different internal audit scheme, it MAY use such scheme provided that the audit either</w:t>
      </w:r>
    </w:p>
    <w:p>
      <w:pPr>
        <w:numPr>
          <w:ilvl w:val="1"/>
          <w:numId w:val="1108"/>
        </w:numPr>
        <w:pStyle w:val="Compact"/>
      </w:pPr>
      <w:r>
        <w:t xml:space="preserve">encompasses all requirements of one of the above schemes; or</w:t>
      </w:r>
    </w:p>
    <w:p>
      <w:pPr>
        <w:numPr>
          <w:ilvl w:val="1"/>
          <w:numId w:val="1108"/>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9"/>
    <w:bookmarkStart w:id="420" w:name="Xb77e0fc54416a91f5670213c9623748359fe7fc"/>
    <w:p>
      <w:pPr>
        <w:pStyle w:val="Heading2"/>
      </w:pPr>
      <w:r>
        <w:t xml:space="preserve">8.5 Actions taken as a result of deficiency</w:t>
      </w:r>
    </w:p>
    <w:bookmarkEnd w:id="420"/>
    <w:bookmarkStart w:id="421"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109"/>
        </w:numPr>
        <w:pStyle w:val="Compact"/>
      </w:pPr>
      <w:r>
        <w:t xml:space="preserve">name of the organization being audited;</w:t>
      </w:r>
    </w:p>
    <w:p>
      <w:pPr>
        <w:numPr>
          <w:ilvl w:val="0"/>
          <w:numId w:val="1109"/>
        </w:numPr>
        <w:pStyle w:val="Compact"/>
      </w:pPr>
      <w:r>
        <w:t xml:space="preserve">name and address of the organization performing the audit;</w:t>
      </w:r>
    </w:p>
    <w:p>
      <w:pPr>
        <w:numPr>
          <w:ilvl w:val="0"/>
          <w:numId w:val="1109"/>
        </w:numPr>
        <w:pStyle w:val="Compact"/>
      </w:pPr>
      <w:r>
        <w:t xml:space="preserve">the SHA-256 fingerprint of all Roots and Subordinate CA Certificates, including Cross-Certified Subordinate CA Certificates, that were in-scope of the audit;</w:t>
      </w:r>
    </w:p>
    <w:p>
      <w:pPr>
        <w:numPr>
          <w:ilvl w:val="0"/>
          <w:numId w:val="1109"/>
        </w:numPr>
        <w:pStyle w:val="Compact"/>
      </w:pPr>
      <w:r>
        <w:t xml:space="preserve">audit criteria, with version number(s), that were used to audit each of the certificates (and associated keys);</w:t>
      </w:r>
    </w:p>
    <w:p>
      <w:pPr>
        <w:numPr>
          <w:ilvl w:val="0"/>
          <w:numId w:val="1109"/>
        </w:numPr>
        <w:pStyle w:val="Compact"/>
      </w:pPr>
      <w:r>
        <w:t xml:space="preserve">a list of the CA policy documents, with version numbers, referenced during the audit;</w:t>
      </w:r>
    </w:p>
    <w:p>
      <w:pPr>
        <w:numPr>
          <w:ilvl w:val="0"/>
          <w:numId w:val="1109"/>
        </w:numPr>
        <w:pStyle w:val="Compact"/>
      </w:pPr>
      <w:r>
        <w:t xml:space="preserve">whether the audit assessed a period of time or a point in time;</w:t>
      </w:r>
    </w:p>
    <w:p>
      <w:pPr>
        <w:numPr>
          <w:ilvl w:val="0"/>
          <w:numId w:val="1109"/>
        </w:numPr>
        <w:pStyle w:val="Compact"/>
      </w:pPr>
      <w:r>
        <w:t xml:space="preserve">the start date and end date of the Audit Period, for those that cover a period of time;</w:t>
      </w:r>
    </w:p>
    <w:p>
      <w:pPr>
        <w:numPr>
          <w:ilvl w:val="0"/>
          <w:numId w:val="1109"/>
        </w:numPr>
        <w:pStyle w:val="Compact"/>
      </w:pPr>
      <w:r>
        <w:t xml:space="preserve">the point in time date, for those that are for a point in time;</w:t>
      </w:r>
    </w:p>
    <w:p>
      <w:pPr>
        <w:numPr>
          <w:ilvl w:val="0"/>
          <w:numId w:val="1109"/>
        </w:numPr>
        <w:pStyle w:val="Compact"/>
      </w:pPr>
      <w:r>
        <w:t xml:space="preserve">the date the report was issued, which will necessarily be after the end date or point in time date; and</w:t>
      </w:r>
    </w:p>
    <w:p>
      <w:pPr>
        <w:numPr>
          <w:ilvl w:val="0"/>
          <w:numId w:val="1109"/>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109"/>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21"/>
    <w:bookmarkStart w:id="422"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pPr>
        <w:pStyle w:val="BodyText"/>
      </w:pPr>
      <w:r>
        <w:t xml:space="preserve">Effective 2025-03-15, the CA SHOULD use a Linting process to verify the technical accuracy of Certificates within the selected sample set independently of previous linting performed on the same Certificates.</w:t>
      </w:r>
    </w:p>
    <w:p>
      <w:pPr>
        <w:pStyle w:val="BodyText"/>
      </w:pPr>
      <w:r>
        <w:t xml:space="preserve">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22"/>
    <w:bookmarkEnd w:id="423"/>
    <w:bookmarkStart w:id="476" w:name="X1b3172719035076246fa692266738f120f21d18"/>
    <w:p>
      <w:pPr>
        <w:pStyle w:val="Heading1"/>
      </w:pPr>
      <w:r>
        <w:t xml:space="preserve">9. OTHER BUSINESS AND LEGAL MATTERS</w:t>
      </w:r>
    </w:p>
    <w:bookmarkStart w:id="429" w:name="X9e1e4e739dcc18b0dcffb6221f807a2a284ccfa"/>
    <w:p>
      <w:pPr>
        <w:pStyle w:val="Heading2"/>
      </w:pPr>
      <w:r>
        <w:t xml:space="preserve">9.1 Fees</w:t>
      </w:r>
    </w:p>
    <w:bookmarkStart w:id="424" w:name="X1b67225cf53cf32cb2b90327c6e8269ed5fa5eb"/>
    <w:p>
      <w:pPr>
        <w:pStyle w:val="Heading3"/>
      </w:pPr>
      <w:r>
        <w:t xml:space="preserve">9.1.1 Certificate issuance or renewal fees</w:t>
      </w:r>
    </w:p>
    <w:bookmarkEnd w:id="424"/>
    <w:bookmarkStart w:id="425" w:name="X4b08da61ddb2fa9217aacbd0b59bc2d64cbec64"/>
    <w:p>
      <w:pPr>
        <w:pStyle w:val="Heading3"/>
      </w:pPr>
      <w:r>
        <w:t xml:space="preserve">9.1.2 Certificate access fees</w:t>
      </w:r>
    </w:p>
    <w:bookmarkEnd w:id="425"/>
    <w:bookmarkStart w:id="426" w:name="X7f7c3bc1e0cb2d8ff962bdc889bfac1a0265de9"/>
    <w:p>
      <w:pPr>
        <w:pStyle w:val="Heading3"/>
      </w:pPr>
      <w:r>
        <w:t xml:space="preserve">9.1.3 Revocation or status information access fees</w:t>
      </w:r>
    </w:p>
    <w:bookmarkEnd w:id="426"/>
    <w:bookmarkStart w:id="427" w:name="Xb06699e15acbdd0fda5f839e0607957b62115d0"/>
    <w:p>
      <w:pPr>
        <w:pStyle w:val="Heading3"/>
      </w:pPr>
      <w:r>
        <w:t xml:space="preserve">9.1.4 Fees for other services</w:t>
      </w:r>
    </w:p>
    <w:bookmarkEnd w:id="427"/>
    <w:bookmarkStart w:id="428" w:name="X15d40b3d70ec68b057607e6e2568bca850e8fd6"/>
    <w:p>
      <w:pPr>
        <w:pStyle w:val="Heading3"/>
      </w:pPr>
      <w:r>
        <w:t xml:space="preserve">9.1.5 Refund policy</w:t>
      </w:r>
    </w:p>
    <w:bookmarkEnd w:id="428"/>
    <w:bookmarkEnd w:id="429"/>
    <w:bookmarkStart w:id="433" w:name="Xd952917766949dfcf7962abfdd3b24b9b93549e"/>
    <w:p>
      <w:pPr>
        <w:pStyle w:val="Heading2"/>
      </w:pPr>
      <w:r>
        <w:t xml:space="preserve">9.2 Financial responsibility</w:t>
      </w:r>
    </w:p>
    <w:bookmarkStart w:id="430" w:name="Xab3b556a04395b5d46f4c82fd05370dfac94716"/>
    <w:p>
      <w:pPr>
        <w:pStyle w:val="Heading3"/>
      </w:pPr>
      <w:r>
        <w:t xml:space="preserve">9.2.1 Insurance coverage</w:t>
      </w:r>
    </w:p>
    <w:bookmarkEnd w:id="430"/>
    <w:bookmarkStart w:id="431" w:name="X801c484485ff69250845233a4b0ac7f5a10bfa5"/>
    <w:p>
      <w:pPr>
        <w:pStyle w:val="Heading3"/>
      </w:pPr>
      <w:r>
        <w:t xml:space="preserve">9.2.2 Other assets</w:t>
      </w:r>
    </w:p>
    <w:bookmarkEnd w:id="431"/>
    <w:bookmarkStart w:id="432" w:name="Xdcd133e846f0e16a5a0eeaddc1ef654447c1abf"/>
    <w:p>
      <w:pPr>
        <w:pStyle w:val="Heading3"/>
      </w:pPr>
      <w:r>
        <w:t xml:space="preserve">9.2.3 Insurance or warranty coverage for end-entities</w:t>
      </w:r>
    </w:p>
    <w:bookmarkEnd w:id="432"/>
    <w:bookmarkEnd w:id="433"/>
    <w:bookmarkStart w:id="437" w:name="Xe5c485ef49f267790086c69012571d874897c2b"/>
    <w:p>
      <w:pPr>
        <w:pStyle w:val="Heading2"/>
      </w:pPr>
      <w:r>
        <w:t xml:space="preserve">9.3 Confidentiality of business information</w:t>
      </w:r>
    </w:p>
    <w:bookmarkStart w:id="434" w:name="Xdeb9db4cd332267afa68e6003f72db0f2eb9855"/>
    <w:p>
      <w:pPr>
        <w:pStyle w:val="Heading3"/>
      </w:pPr>
      <w:r>
        <w:t xml:space="preserve">9.3.1 Scope of confidential information</w:t>
      </w:r>
    </w:p>
    <w:bookmarkEnd w:id="434"/>
    <w:bookmarkStart w:id="435" w:name="Xc76890e753e41d81fc0bd7b62299ea853528a39"/>
    <w:p>
      <w:pPr>
        <w:pStyle w:val="Heading3"/>
      </w:pPr>
      <w:r>
        <w:t xml:space="preserve">9.3.2 Information not within the scope of confidential information</w:t>
      </w:r>
    </w:p>
    <w:bookmarkEnd w:id="435"/>
    <w:bookmarkStart w:id="436" w:name="X498af9c046d5890b35db79801b036529dab1550"/>
    <w:p>
      <w:pPr>
        <w:pStyle w:val="Heading3"/>
      </w:pPr>
      <w:r>
        <w:t xml:space="preserve">9.3.3 Responsibility to protect confidential information</w:t>
      </w:r>
    </w:p>
    <w:bookmarkEnd w:id="436"/>
    <w:bookmarkEnd w:id="437"/>
    <w:bookmarkStart w:id="445" w:name="Xad2e9d9fda6d9e9ceca691155dcaa52aa109057"/>
    <w:p>
      <w:pPr>
        <w:pStyle w:val="Heading2"/>
      </w:pPr>
      <w:r>
        <w:t xml:space="preserve">9.4 Privacy of personal information</w:t>
      </w:r>
    </w:p>
    <w:bookmarkStart w:id="438" w:name="X6c26da41eb0326e4f3fb045dfb289f7b51c7861"/>
    <w:p>
      <w:pPr>
        <w:pStyle w:val="Heading3"/>
      </w:pPr>
      <w:r>
        <w:t xml:space="preserve">9.4.1 Privacy plan</w:t>
      </w:r>
    </w:p>
    <w:bookmarkEnd w:id="438"/>
    <w:bookmarkStart w:id="439" w:name="Xadbbe12640a69022222360f63066c0e94eb9aa3"/>
    <w:p>
      <w:pPr>
        <w:pStyle w:val="Heading3"/>
      </w:pPr>
      <w:r>
        <w:t xml:space="preserve">9.4.2 Information treated as private</w:t>
      </w:r>
    </w:p>
    <w:bookmarkEnd w:id="439"/>
    <w:bookmarkStart w:id="440" w:name="X10286c0bb7599b2673f1511c5eba30f104208ef"/>
    <w:p>
      <w:pPr>
        <w:pStyle w:val="Heading3"/>
      </w:pPr>
      <w:r>
        <w:t xml:space="preserve">9.4.3 Information not deemed private</w:t>
      </w:r>
    </w:p>
    <w:bookmarkEnd w:id="440"/>
    <w:bookmarkStart w:id="441" w:name="Xb386d8380baab7b744b988974512573241e56bf"/>
    <w:p>
      <w:pPr>
        <w:pStyle w:val="Heading3"/>
      </w:pPr>
      <w:r>
        <w:t xml:space="preserve">9.4.4 Responsibility to protect private information</w:t>
      </w:r>
    </w:p>
    <w:bookmarkEnd w:id="441"/>
    <w:bookmarkStart w:id="442" w:name="X2405297b88dc49ee58b1ecaed983d326a4a5201"/>
    <w:p>
      <w:pPr>
        <w:pStyle w:val="Heading3"/>
      </w:pPr>
      <w:r>
        <w:t xml:space="preserve">9.4.5 Notice and consent to use private information</w:t>
      </w:r>
    </w:p>
    <w:bookmarkEnd w:id="442"/>
    <w:bookmarkStart w:id="443" w:name="X321bc53c16e37210ae137a90c77c1abab43ca96"/>
    <w:p>
      <w:pPr>
        <w:pStyle w:val="Heading3"/>
      </w:pPr>
      <w:r>
        <w:t xml:space="preserve">9.4.6 Disclosure pursuant to judicial or administrative process</w:t>
      </w:r>
    </w:p>
    <w:bookmarkEnd w:id="443"/>
    <w:bookmarkStart w:id="444" w:name="Xa230d593656a1e51f036328990e12f114fb8201"/>
    <w:p>
      <w:pPr>
        <w:pStyle w:val="Heading3"/>
      </w:pPr>
      <w:r>
        <w:t xml:space="preserve">9.4.7 Other information disclosure circumstances</w:t>
      </w:r>
    </w:p>
    <w:bookmarkEnd w:id="444"/>
    <w:bookmarkEnd w:id="445"/>
    <w:bookmarkStart w:id="446" w:name="X64cd535714d6f2f932d7dafef0fe5e7bfe8aab1"/>
    <w:p>
      <w:pPr>
        <w:pStyle w:val="Heading2"/>
      </w:pPr>
      <w:r>
        <w:t xml:space="preserve">9.5 Intellectual property rights</w:t>
      </w:r>
    </w:p>
    <w:bookmarkEnd w:id="446"/>
    <w:bookmarkStart w:id="452" w:name="X42df1952200f8b3b6c421fc9bd0ada64200850e"/>
    <w:p>
      <w:pPr>
        <w:pStyle w:val="Heading2"/>
      </w:pPr>
      <w:r>
        <w:t xml:space="preserve">9.6 Representations and warranties</w:t>
      </w:r>
    </w:p>
    <w:bookmarkStart w:id="447"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110"/>
        </w:numPr>
        <w:pStyle w:val="Compact"/>
      </w:pPr>
      <w:r>
        <w:t xml:space="preserve">The Subscriber that is a party to the Subscriber Agreement or Terms of Use for the Certificate;</w:t>
      </w:r>
    </w:p>
    <w:p>
      <w:pPr>
        <w:numPr>
          <w:ilvl w:val="0"/>
          <w:numId w:val="1110"/>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110"/>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111"/>
        </w:numPr>
        <w:pStyle w:val="Compact"/>
      </w:pPr>
      <w:r>
        <w:rPr>
          <w:bCs/>
          <w:b/>
        </w:rPr>
        <w:t xml:space="preserve">Right to Use Domain Name or IP Address</w:t>
      </w:r>
      <w:r>
        <w:t xml:space="preserve">: That, at the time of issuance, the CA</w:t>
      </w:r>
    </w:p>
    <w:p>
      <w:pPr>
        <w:numPr>
          <w:ilvl w:val="1"/>
          <w:numId w:val="1112"/>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112"/>
        </w:numPr>
        <w:pStyle w:val="Compact"/>
      </w:pPr>
      <w:r>
        <w:t xml:space="preserve">followed the procedure when issuing the Certificate; and</w:t>
      </w:r>
    </w:p>
    <w:p>
      <w:pPr>
        <w:numPr>
          <w:ilvl w:val="1"/>
          <w:numId w:val="1112"/>
        </w:numPr>
        <w:pStyle w:val="Compact"/>
      </w:pPr>
      <w:r>
        <w:t xml:space="preserve">accurately described the procedure in the CA’s Certificate Policy and/or Certification Practice Statement;</w:t>
      </w:r>
    </w:p>
    <w:p>
      <w:pPr>
        <w:numPr>
          <w:ilvl w:val="0"/>
          <w:numId w:val="1111"/>
        </w:numPr>
        <w:pStyle w:val="Compact"/>
      </w:pPr>
      <w:r>
        <w:rPr>
          <w:bCs/>
          <w:b/>
        </w:rPr>
        <w:t xml:space="preserve">Authorization for Certificate</w:t>
      </w:r>
      <w:r>
        <w:t xml:space="preserve">: That, at the time of issuance, the CA</w:t>
      </w:r>
    </w:p>
    <w:p>
      <w:pPr>
        <w:numPr>
          <w:ilvl w:val="1"/>
          <w:numId w:val="1113"/>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13"/>
        </w:numPr>
        <w:pStyle w:val="Compact"/>
      </w:pPr>
      <w:r>
        <w:t xml:space="preserve">followed the procedure when issuing the Certificate; and</w:t>
      </w:r>
    </w:p>
    <w:p>
      <w:pPr>
        <w:numPr>
          <w:ilvl w:val="1"/>
          <w:numId w:val="1113"/>
        </w:numPr>
        <w:pStyle w:val="Compact"/>
      </w:pPr>
      <w:r>
        <w:t xml:space="preserve">accurately described the procedure in the CA’s Certificate Policy and/or Certification Practice Statement;</w:t>
      </w:r>
    </w:p>
    <w:p>
      <w:pPr>
        <w:numPr>
          <w:ilvl w:val="0"/>
          <w:numId w:val="1111"/>
        </w:numPr>
        <w:pStyle w:val="Compact"/>
      </w:pPr>
      <w:r>
        <w:rPr>
          <w:bCs/>
          <w:b/>
        </w:rPr>
        <w:t xml:space="preserve">Accuracy of Information</w:t>
      </w:r>
      <w:r>
        <w:t xml:space="preserve">: That, at the time of issuance, the CA</w:t>
      </w:r>
    </w:p>
    <w:p>
      <w:pPr>
        <w:numPr>
          <w:ilvl w:val="1"/>
          <w:numId w:val="1114"/>
        </w:numPr>
        <w:pStyle w:val="Compact"/>
      </w:pPr>
      <w:r>
        <w:t xml:space="preserve">implemented a procedure for verifying the accuracy of all of the information contained in the Certificate;</w:t>
      </w:r>
    </w:p>
    <w:p>
      <w:pPr>
        <w:numPr>
          <w:ilvl w:val="1"/>
          <w:numId w:val="1114"/>
        </w:numPr>
        <w:pStyle w:val="Compact"/>
      </w:pPr>
      <w:r>
        <w:t xml:space="preserve">followed the procedure when issuing the Certificate; and</w:t>
      </w:r>
    </w:p>
    <w:p>
      <w:pPr>
        <w:numPr>
          <w:ilvl w:val="1"/>
          <w:numId w:val="1114"/>
        </w:numPr>
        <w:pStyle w:val="Compact"/>
      </w:pPr>
      <w:r>
        <w:t xml:space="preserve">accurately described the procedure in the CA’s Certificate Policy and/or Certification Practice Statement;</w:t>
      </w:r>
    </w:p>
    <w:p>
      <w:pPr>
        <w:numPr>
          <w:ilvl w:val="0"/>
          <w:numId w:val="1111"/>
        </w:numPr>
        <w:pStyle w:val="Compact"/>
      </w:pPr>
      <w:r>
        <w:rPr>
          <w:bCs/>
          <w:b/>
        </w:rPr>
        <w:t xml:space="preserve">Identity of Applicant</w:t>
      </w:r>
      <w:r>
        <w:t xml:space="preserve">: That, if the Certificate contains Subject Identity Information, the CA</w:t>
      </w:r>
    </w:p>
    <w:p>
      <w:pPr>
        <w:numPr>
          <w:ilvl w:val="1"/>
          <w:numId w:val="1115"/>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15"/>
        </w:numPr>
        <w:pStyle w:val="Compact"/>
      </w:pPr>
      <w:r>
        <w:t xml:space="preserve">followed the procedure when issuing the Certificate; and</w:t>
      </w:r>
    </w:p>
    <w:p>
      <w:pPr>
        <w:numPr>
          <w:ilvl w:val="1"/>
          <w:numId w:val="1115"/>
        </w:numPr>
        <w:pStyle w:val="Compact"/>
      </w:pPr>
      <w:r>
        <w:t xml:space="preserve">accurately described the procedure in the CA’s Certificate Policy and/or Certification Practice Statement;</w:t>
      </w:r>
    </w:p>
    <w:p>
      <w:pPr>
        <w:numPr>
          <w:ilvl w:val="0"/>
          <w:numId w:val="1111"/>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111"/>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111"/>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7"/>
    <w:bookmarkStart w:id="448" w:name="Xebe04674c865104894aa0b023e720efe3a82b5e"/>
    <w:p>
      <w:pPr>
        <w:pStyle w:val="Heading3"/>
      </w:pPr>
      <w:r>
        <w:t xml:space="preserve">9.6.2 RA representations and warranties</w:t>
      </w:r>
    </w:p>
    <w:p>
      <w:pPr>
        <w:pStyle w:val="FirstParagraph"/>
      </w:pPr>
      <w:r>
        <w:t xml:space="preserve">No stipulation.</w:t>
      </w:r>
    </w:p>
    <w:bookmarkEnd w:id="448"/>
    <w:bookmarkStart w:id="449"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16"/>
        </w:numPr>
        <w:pStyle w:val="Compact"/>
      </w:pPr>
      <w:r>
        <w:t xml:space="preserve">The Applicant’s agreement to the Subscriber Agreement with the CA, or</w:t>
      </w:r>
    </w:p>
    <w:p>
      <w:pPr>
        <w:numPr>
          <w:ilvl w:val="0"/>
          <w:numId w:val="1116"/>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17"/>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17"/>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17"/>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17"/>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17"/>
        </w:numPr>
        <w:pStyle w:val="Compact"/>
      </w:pPr>
      <w:r>
        <w:rPr>
          <w:bCs/>
          <w:b/>
        </w:rPr>
        <w:t xml:space="preserve">Reporting and Revocation</w:t>
      </w:r>
      <w:r>
        <w:t xml:space="preserve">: An obligation and warranty to:</w:t>
      </w:r>
    </w:p>
    <w:p>
      <w:pPr>
        <w:numPr>
          <w:ilvl w:val="1"/>
          <w:numId w:val="1118"/>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18"/>
        </w:numPr>
        <w:pStyle w:val="Compact"/>
      </w:pPr>
      <w:r>
        <w:t xml:space="preserve">promptly request revocation of the Certificate, and cease using it, if any information in the Certificate is or becomes incorrect or inaccurate;</w:t>
      </w:r>
    </w:p>
    <w:p>
      <w:pPr>
        <w:numPr>
          <w:ilvl w:val="0"/>
          <w:numId w:val="1117"/>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17"/>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17"/>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9"/>
    <w:bookmarkStart w:id="450" w:name="Xce77c7c8575aedca19a4bcf41e786564708694d"/>
    <w:p>
      <w:pPr>
        <w:pStyle w:val="Heading3"/>
      </w:pPr>
      <w:r>
        <w:t xml:space="preserve">9.6.4 Relying party representations and warranties</w:t>
      </w:r>
    </w:p>
    <w:bookmarkEnd w:id="450"/>
    <w:bookmarkStart w:id="451" w:name="X5ad64ad5eca0698d8b9ce9c2a180877e13a0852"/>
    <w:p>
      <w:pPr>
        <w:pStyle w:val="Heading3"/>
      </w:pPr>
      <w:r>
        <w:t xml:space="preserve">9.6.5 Representations and warranties of other participants</w:t>
      </w:r>
    </w:p>
    <w:bookmarkEnd w:id="451"/>
    <w:bookmarkEnd w:id="452"/>
    <w:bookmarkStart w:id="453" w:name="X3e394d97fc62ae682b76b8a401598ecd71e7381"/>
    <w:p>
      <w:pPr>
        <w:pStyle w:val="Heading2"/>
      </w:pPr>
      <w:r>
        <w:t xml:space="preserve">9.7 Disclaimers of warranties</w:t>
      </w:r>
    </w:p>
    <w:bookmarkEnd w:id="453"/>
    <w:bookmarkStart w:id="454"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54"/>
    <w:bookmarkStart w:id="455"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5"/>
    <w:bookmarkStart w:id="459" w:name="X7ba9a97174471fc033509b3b35a3e9fc60a339d"/>
    <w:p>
      <w:pPr>
        <w:pStyle w:val="Heading2"/>
      </w:pPr>
      <w:r>
        <w:t xml:space="preserve">9.10 Term and termination</w:t>
      </w:r>
    </w:p>
    <w:bookmarkStart w:id="456" w:name="X4d3f6870a86df28a1f6e68dd2c72de3b3afbdfb"/>
    <w:p>
      <w:pPr>
        <w:pStyle w:val="Heading3"/>
      </w:pPr>
      <w:r>
        <w:t xml:space="preserve">9.10.1 Term</w:t>
      </w:r>
    </w:p>
    <w:bookmarkEnd w:id="456"/>
    <w:bookmarkStart w:id="457" w:name="X4ffa3f8a67459fa4b33f6bfae2cd17cc142ecf8"/>
    <w:p>
      <w:pPr>
        <w:pStyle w:val="Heading3"/>
      </w:pPr>
      <w:r>
        <w:t xml:space="preserve">9.10.2 Termination</w:t>
      </w:r>
    </w:p>
    <w:bookmarkEnd w:id="457"/>
    <w:bookmarkStart w:id="458" w:name="Xc1785ffdcfdde1261d0f7f398f8dd35cbc98dfe"/>
    <w:p>
      <w:pPr>
        <w:pStyle w:val="Heading3"/>
      </w:pPr>
      <w:r>
        <w:t xml:space="preserve">9.10.3 Effect of termination and survival</w:t>
      </w:r>
    </w:p>
    <w:bookmarkEnd w:id="458"/>
    <w:bookmarkEnd w:id="459"/>
    <w:bookmarkStart w:id="460" w:name="Xfc373925ebb137a487c6a7b9d2dd630a4f0b256"/>
    <w:p>
      <w:pPr>
        <w:pStyle w:val="Heading2"/>
      </w:pPr>
      <w:r>
        <w:t xml:space="preserve">9.11 Individual notices and communications with participants</w:t>
      </w:r>
    </w:p>
    <w:bookmarkEnd w:id="460"/>
    <w:bookmarkStart w:id="464" w:name="Xdf1273fb7beaede1c848432870f51b5a8bc8737"/>
    <w:p>
      <w:pPr>
        <w:pStyle w:val="Heading2"/>
      </w:pPr>
      <w:r>
        <w:t xml:space="preserve">9.12 Amendments</w:t>
      </w:r>
    </w:p>
    <w:bookmarkStart w:id="461" w:name="Xc613974beff4bd0b19e37bba61b2ec88172216b"/>
    <w:p>
      <w:pPr>
        <w:pStyle w:val="Heading3"/>
      </w:pPr>
      <w:r>
        <w:t xml:space="preserve">9.12.1 Procedure for amendment</w:t>
      </w:r>
    </w:p>
    <w:bookmarkEnd w:id="461"/>
    <w:bookmarkStart w:id="462" w:name="X0c84bdf4e5d4f55a3ed3383527421a55f2ccc5f"/>
    <w:p>
      <w:pPr>
        <w:pStyle w:val="Heading3"/>
      </w:pPr>
      <w:r>
        <w:t xml:space="preserve">9.12.2 Notification mechanism and period</w:t>
      </w:r>
    </w:p>
    <w:bookmarkEnd w:id="462"/>
    <w:bookmarkStart w:id="463" w:name="X44dd3a0f1969a45e2de4169497c54d6e22b8d4e"/>
    <w:p>
      <w:pPr>
        <w:pStyle w:val="Heading3"/>
      </w:pPr>
      <w:r>
        <w:t xml:space="preserve">9.12.3 Circumstances under which OID must be changed</w:t>
      </w:r>
    </w:p>
    <w:bookmarkEnd w:id="463"/>
    <w:bookmarkEnd w:id="464"/>
    <w:bookmarkStart w:id="465" w:name="X532d40f2ecaf6ea44a2ec5da010bc191ee5d16d"/>
    <w:p>
      <w:pPr>
        <w:pStyle w:val="Heading2"/>
      </w:pPr>
      <w:r>
        <w:t xml:space="preserve">9.13 Dispute resolution provisions</w:t>
      </w:r>
    </w:p>
    <w:bookmarkEnd w:id="465"/>
    <w:bookmarkStart w:id="466" w:name="X6f36ee9a99eb8b9385d5bdedb679bae78eb2a91"/>
    <w:p>
      <w:pPr>
        <w:pStyle w:val="Heading2"/>
      </w:pPr>
      <w:r>
        <w:t xml:space="preserve">9.14 Governing law</w:t>
      </w:r>
    </w:p>
    <w:bookmarkEnd w:id="466"/>
    <w:bookmarkStart w:id="467"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7"/>
    <w:bookmarkStart w:id="474" w:name="X812605d8f841bdf71495d8993bcda18fd152bd8"/>
    <w:p>
      <w:pPr>
        <w:pStyle w:val="Heading2"/>
      </w:pPr>
      <w:r>
        <w:t xml:space="preserve">9.16 Miscellaneous provisions</w:t>
      </w:r>
    </w:p>
    <w:bookmarkStart w:id="468" w:name="X617276fa3572012c7efe11ea4cd2c7983c855d4"/>
    <w:p>
      <w:pPr>
        <w:pStyle w:val="Heading3"/>
      </w:pPr>
      <w:r>
        <w:t xml:space="preserve">9.16.1 Entire agreement</w:t>
      </w:r>
    </w:p>
    <w:bookmarkEnd w:id="468"/>
    <w:bookmarkStart w:id="469" w:name="X2ae3b321bcbf4efff46a5a600da342d57a37616"/>
    <w:p>
      <w:pPr>
        <w:pStyle w:val="Heading3"/>
      </w:pPr>
      <w:r>
        <w:t xml:space="preserve">9.16.2 Assignment</w:t>
      </w:r>
    </w:p>
    <w:bookmarkEnd w:id="469"/>
    <w:bookmarkStart w:id="471"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70">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71"/>
    <w:bookmarkStart w:id="472" w:name="Xf640df77cf004e0fc87647819c725ff18801b3f"/>
    <w:p>
      <w:pPr>
        <w:pStyle w:val="Heading3"/>
      </w:pPr>
      <w:r>
        <w:t xml:space="preserve">9.16.4 Enforcement (attorneys’ fees and waiver of rights)</w:t>
      </w:r>
    </w:p>
    <w:bookmarkEnd w:id="472"/>
    <w:bookmarkStart w:id="473" w:name="X656ab7b064035247061ac63ec4cdba70d0d7f6c"/>
    <w:p>
      <w:pPr>
        <w:pStyle w:val="Heading3"/>
      </w:pPr>
      <w:r>
        <w:t xml:space="preserve">9.16.5 Force Majeure</w:t>
      </w:r>
    </w:p>
    <w:bookmarkEnd w:id="473"/>
    <w:bookmarkEnd w:id="474"/>
    <w:bookmarkStart w:id="475" w:name="X55acb3accc9964cedc51bbeb2126f44eb9b7820"/>
    <w:p>
      <w:pPr>
        <w:pStyle w:val="Heading2"/>
      </w:pPr>
      <w:r>
        <w:t xml:space="preserve">9.17 Other provisions</w:t>
      </w:r>
    </w:p>
    <w:bookmarkEnd w:id="475"/>
    <w:bookmarkEnd w:id="476"/>
    <w:bookmarkStart w:id="483"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9" w:name="a1-caa-methods"/>
    <w:p>
      <w:pPr>
        <w:pStyle w:val="Heading2"/>
      </w:pPr>
      <w:r>
        <w:t xml:space="preserve">A.1. CAA Methods</w:t>
      </w:r>
    </w:p>
    <w:bookmarkStart w:id="477"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7"/>
    <w:bookmarkStart w:id="478"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8"/>
    <w:bookmarkEnd w:id="479"/>
    <w:bookmarkStart w:id="482" w:name="a2-dns-txt-methods"/>
    <w:p>
      <w:pPr>
        <w:pStyle w:val="Heading2"/>
      </w:pPr>
      <w:r>
        <w:t xml:space="preserve">A.2. DNS TXT Methods</w:t>
      </w:r>
    </w:p>
    <w:bookmarkStart w:id="480"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80"/>
    <w:bookmarkStart w:id="481"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81"/>
    <w:bookmarkEnd w:id="482"/>
    <w:bookmarkEnd w:id="483"/>
    <w:bookmarkStart w:id="485"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19"/>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84">
        <w:r>
          <w:rPr>
            <w:rStyle w:val="Hyperlink"/>
          </w:rPr>
          <w:t xml:space="preserve">https://spec.torproject.org/rend-spec-v3</w:t>
        </w:r>
      </w:hyperlink>
      <w:r>
        <w:t xml:space="preserve">.</w:t>
      </w:r>
    </w:p>
    <w:p>
      <w:pPr>
        <w:numPr>
          <w:ilvl w:val="0"/>
          <w:numId w:val="1119"/>
        </w:numPr>
      </w:pPr>
      <w:r>
        <w:t xml:space="preserve">The CA MUST verify the Applicant’s control over the Onion Domain Name using at least one of the methods listed below:</w:t>
      </w:r>
    </w:p>
    <w:p>
      <w:pPr>
        <w:numPr>
          <w:ilvl w:val="1"/>
          <w:numId w:val="1120"/>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21"/>
        </w:numPr>
        <w:pStyle w:val="Compact"/>
      </w:pPr>
      <w:hyperlink w:anchor="Xc46000129b0d394eceab9eaea84e163722f6ebc">
        <w:r>
          <w:rPr>
            <w:rStyle w:val="Hyperlink"/>
          </w:rPr>
          <w:t xml:space="preserve">Section 3.2.2.4.18 - Agreed-Upon Change to Website v2</w:t>
        </w:r>
      </w:hyperlink>
    </w:p>
    <w:p>
      <w:pPr>
        <w:numPr>
          <w:ilvl w:val="2"/>
          <w:numId w:val="1121"/>
        </w:numPr>
        <w:pStyle w:val="Compact"/>
      </w:pPr>
      <w:hyperlink w:anchor="X3668caebf20c4cdaf2b3d8ef5a761cf401871de">
        <w:r>
          <w:rPr>
            <w:rStyle w:val="Hyperlink"/>
          </w:rPr>
          <w:t xml:space="preserve">Section 3.2.2.4.19 - Agreed-Upon Change to Website - ACME</w:t>
        </w:r>
      </w:hyperlink>
    </w:p>
    <w:p>
      <w:pPr>
        <w:numPr>
          <w:ilvl w:val="2"/>
          <w:numId w:val="1121"/>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20"/>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22"/>
        </w:numPr>
        <w:pStyle w:val="Compact"/>
      </w:pPr>
      <w:r>
        <w:t xml:space="preserve">A caSigningNonce attribute that contains a Random Value that is generated by the CA; and</w:t>
      </w:r>
    </w:p>
    <w:p>
      <w:pPr>
        <w:numPr>
          <w:ilvl w:val="2"/>
          <w:numId w:val="1122"/>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19"/>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5"/>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3">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94">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6">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1">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2">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9">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0">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4">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5">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9">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20">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31">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5">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8">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92">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94">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5">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6">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712">
    <w:nsid w:val="91a27d85"/>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713">
    <w:nsid w:val="615f1ed2"/>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412">
    <w:nsid w:val="238d8174"/>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41f388d6"/>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1"/>
  </w:num>
  <w:num w:numId="103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1"/>
  </w:num>
  <w:num w:numId="104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8">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1"/>
  </w:num>
  <w:num w:numId="1063">
    <w:abstractNumId w:val="991"/>
  </w:num>
  <w:num w:numId="10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1"/>
  </w:num>
  <w:num w:numId="1066">
    <w:abstractNumId w:val="991"/>
  </w:num>
  <w:num w:numId="1067">
    <w:abstractNumId w:val="991"/>
  </w:num>
  <w:num w:numId="1068">
    <w:abstractNumId w:val="991"/>
  </w:num>
  <w:num w:numId="1069">
    <w:abstractNumId w:val="991"/>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1"/>
  </w:num>
  <w:num w:numId="1078">
    <w:abstractNumId w:val="991"/>
  </w:num>
  <w:num w:numId="1079">
    <w:abstractNumId w:val="991"/>
  </w:num>
  <w:num w:numId="1080">
    <w:abstractNumId w:val="991"/>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1"/>
  </w:num>
  <w:num w:numId="1103">
    <w:abstractNumId w:val="991"/>
  </w:num>
  <w:num w:numId="11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5">
    <w:abstractNumId w:val="991"/>
  </w:num>
  <w:num w:numId="110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07">
    <w:abstractNumId w:val="991"/>
  </w:num>
  <w:num w:numId="11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70" Target="https://cabforum.org/pipermail/public/" TargetMode="External" /><Relationship Type="http://schemas.openxmlformats.org/officeDocument/2006/relationships/hyperlink" Id="rId358" Target="https://datatracker.ietf.org/doc/html/rfc5280" TargetMode="External" /><Relationship Type="http://schemas.openxmlformats.org/officeDocument/2006/relationships/hyperlink" Id="rId357"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4" Target="https://spec.torproject.org/rend-spec-v3" TargetMode="External" /><Relationship Type="http://schemas.openxmlformats.org/officeDocument/2006/relationships/hyperlink" Id="rId350"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2" Target="https://tools.ietf.org/doc/html/rfc5280#section-4.1.2.2" TargetMode="External" /><Relationship Type="http://schemas.openxmlformats.org/officeDocument/2006/relationships/hyperlink" Id="rId349" Target="https://tools.ietf.org/doc/html/rfc6962" TargetMode="External" /><Relationship Type="http://schemas.openxmlformats.org/officeDocument/2006/relationships/hyperlink" Id="rId355" Target="https://tools.ietf.org/doc/html/rfc6962#section-3.1" TargetMode="External" /><Relationship Type="http://schemas.openxmlformats.org/officeDocument/2006/relationships/hyperlink" Id="rId351" Target="https://tools.ietf.org/doc/html/rfc6962#section-3.2" TargetMode="External" /><Relationship Type="http://schemas.openxmlformats.org/officeDocument/2006/relationships/hyperlink" Id="rId393" Target="https://tools.ietf.org/html/rfc4519" TargetMode="External" /><Relationship Type="http://schemas.openxmlformats.org/officeDocument/2006/relationships/hyperlink" Id="rId284" Target="https://tools.ietf.org/html/rfc5280" TargetMode="External" /><Relationship Type="http://schemas.openxmlformats.org/officeDocument/2006/relationships/hyperlink" Id="rId285" Target="https://tools.ietf.org/html/rfc5280#appendix-B" TargetMode="External" /><Relationship Type="http://schemas.openxmlformats.org/officeDocument/2006/relationships/hyperlink" Id="rId370" Target="https://tools.ietf.org/html/rfc5280#section-4.2.1.10" TargetMode="External" /><Relationship Type="http://schemas.openxmlformats.org/officeDocument/2006/relationships/hyperlink" Id="rId295" Target="https://tools.ietf.org/html/rfc5280#section-4.2.1.13" TargetMode="External" /><Relationship Type="http://schemas.openxmlformats.org/officeDocument/2006/relationships/hyperlink" Id="rId377" Target="https://tools.ietf.org/html/rfc5280#section-4.2.1.2" TargetMode="External" /><Relationship Type="http://schemas.openxmlformats.org/officeDocument/2006/relationships/hyperlink" Id="rId335" Target="https://tools.ietf.org/html/rfc5280#section-4.2.1.6" TargetMode="External" /><Relationship Type="http://schemas.openxmlformats.org/officeDocument/2006/relationships/hyperlink" Id="rId389" Target="https://tools.ietf.org/html/rfc5280#section-6" TargetMode="External" /><Relationship Type="http://schemas.openxmlformats.org/officeDocument/2006/relationships/hyperlink" Id="rId390" Target="https://tools.ietf.org/html/rfc5280#section-7.1" TargetMode="External" /><Relationship Type="http://schemas.openxmlformats.org/officeDocument/2006/relationships/hyperlink" Id="rId338" Target="https://tools.ietf.org/html/rfc6960#section-4.2.2.2" TargetMode="External" /><Relationship Type="http://schemas.openxmlformats.org/officeDocument/2006/relationships/hyperlink" Id="rId344" Target="https://tools.ietf.org/html/rfc6960#section-4.2.2.2.1" TargetMode="External" /><Relationship Type="http://schemas.openxmlformats.org/officeDocument/2006/relationships/hyperlink" Id="rId307" Target="https://tools.ietf.org/html/rfc6962#section-3.1" TargetMode="External" /><Relationship Type="http://schemas.openxmlformats.org/officeDocument/2006/relationships/hyperlink" Id="rId308" Target="https://tools.ietf.org/html/rfc6962#section-3.2" TargetMode="External" /><Relationship Type="http://schemas.openxmlformats.org/officeDocument/2006/relationships/hyperlink" Id="rId375"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70" Target="https://cabforum.org/pipermail/public/" TargetMode="External" /><Relationship Type="http://schemas.openxmlformats.org/officeDocument/2006/relationships/hyperlink" Id="rId358" Target="https://datatracker.ietf.org/doc/html/rfc5280" TargetMode="External" /><Relationship Type="http://schemas.openxmlformats.org/officeDocument/2006/relationships/hyperlink" Id="rId357"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4" Target="https://spec.torproject.org/rend-spec-v3" TargetMode="External" /><Relationship Type="http://schemas.openxmlformats.org/officeDocument/2006/relationships/hyperlink" Id="rId350"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2" Target="https://tools.ietf.org/doc/html/rfc5280#section-4.1.2.2" TargetMode="External" /><Relationship Type="http://schemas.openxmlformats.org/officeDocument/2006/relationships/hyperlink" Id="rId349" Target="https://tools.ietf.org/doc/html/rfc6962" TargetMode="External" /><Relationship Type="http://schemas.openxmlformats.org/officeDocument/2006/relationships/hyperlink" Id="rId355" Target="https://tools.ietf.org/doc/html/rfc6962#section-3.1" TargetMode="External" /><Relationship Type="http://schemas.openxmlformats.org/officeDocument/2006/relationships/hyperlink" Id="rId351" Target="https://tools.ietf.org/doc/html/rfc6962#section-3.2" TargetMode="External" /><Relationship Type="http://schemas.openxmlformats.org/officeDocument/2006/relationships/hyperlink" Id="rId393" Target="https://tools.ietf.org/html/rfc4519" TargetMode="External" /><Relationship Type="http://schemas.openxmlformats.org/officeDocument/2006/relationships/hyperlink" Id="rId284" Target="https://tools.ietf.org/html/rfc5280" TargetMode="External" /><Relationship Type="http://schemas.openxmlformats.org/officeDocument/2006/relationships/hyperlink" Id="rId285" Target="https://tools.ietf.org/html/rfc5280#appendix-B" TargetMode="External" /><Relationship Type="http://schemas.openxmlformats.org/officeDocument/2006/relationships/hyperlink" Id="rId370" Target="https://tools.ietf.org/html/rfc5280#section-4.2.1.10" TargetMode="External" /><Relationship Type="http://schemas.openxmlformats.org/officeDocument/2006/relationships/hyperlink" Id="rId295" Target="https://tools.ietf.org/html/rfc5280#section-4.2.1.13" TargetMode="External" /><Relationship Type="http://schemas.openxmlformats.org/officeDocument/2006/relationships/hyperlink" Id="rId377" Target="https://tools.ietf.org/html/rfc5280#section-4.2.1.2" TargetMode="External" /><Relationship Type="http://schemas.openxmlformats.org/officeDocument/2006/relationships/hyperlink" Id="rId335" Target="https://tools.ietf.org/html/rfc5280#section-4.2.1.6" TargetMode="External" /><Relationship Type="http://schemas.openxmlformats.org/officeDocument/2006/relationships/hyperlink" Id="rId389" Target="https://tools.ietf.org/html/rfc5280#section-6" TargetMode="External" /><Relationship Type="http://schemas.openxmlformats.org/officeDocument/2006/relationships/hyperlink" Id="rId390" Target="https://tools.ietf.org/html/rfc5280#section-7.1" TargetMode="External" /><Relationship Type="http://schemas.openxmlformats.org/officeDocument/2006/relationships/hyperlink" Id="rId338" Target="https://tools.ietf.org/html/rfc6960#section-4.2.2.2" TargetMode="External" /><Relationship Type="http://schemas.openxmlformats.org/officeDocument/2006/relationships/hyperlink" Id="rId344" Target="https://tools.ietf.org/html/rfc6960#section-4.2.2.2.1" TargetMode="External" /><Relationship Type="http://schemas.openxmlformats.org/officeDocument/2006/relationships/hyperlink" Id="rId307" Target="https://tools.ietf.org/html/rfc6962#section-3.1" TargetMode="External" /><Relationship Type="http://schemas.openxmlformats.org/officeDocument/2006/relationships/hyperlink" Id="rId308" Target="https://tools.ietf.org/html/rfc6962#section-3.2" TargetMode="External" /><Relationship Type="http://schemas.openxmlformats.org/officeDocument/2006/relationships/hyperlink" Id="rId375"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2024-11-14T10:14:51Z</dcterms:created>
  <dcterms:modified xsi:type="dcterms:W3CDTF">2024-11-14T10:14:51Z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vt:lpwstr>True</vt:lpwstr>
  </property>
</Properties>
</file>